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35E6D" w:rsidRDefault="00000000">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WG2 #128</w:t>
      </w:r>
      <w:r>
        <w:rPr>
          <w:rFonts w:ascii="Arial" w:eastAsia="Batang" w:hAnsi="Arial" w:cs="Arial"/>
          <w:b/>
          <w:bCs/>
          <w:lang w:val="en-GB"/>
        </w:rPr>
        <w:tab/>
      </w:r>
      <w:r>
        <w:rPr>
          <w:rFonts w:ascii="Arial" w:eastAsia="Batang" w:hAnsi="Arial" w:cs="Arial"/>
          <w:b/>
          <w:bCs/>
          <w:lang w:val="en-GB"/>
        </w:rPr>
        <w:tab/>
        <w:t>R2-2410678</w:t>
      </w:r>
    </w:p>
    <w:p w:rsidR="00435E6D" w:rsidRDefault="00000000">
      <w:pPr>
        <w:tabs>
          <w:tab w:val="center" w:pos="4536"/>
          <w:tab w:val="right" w:pos="9072"/>
        </w:tabs>
        <w:jc w:val="both"/>
        <w:rPr>
          <w:rFonts w:ascii="Arial" w:eastAsia="Batang" w:hAnsi="Arial" w:cs="Arial"/>
          <w:b/>
          <w:bCs/>
          <w:lang w:val="en-GB"/>
        </w:rPr>
      </w:pPr>
      <w:r>
        <w:rPr>
          <w:rFonts w:ascii="Arial" w:eastAsia="Batang" w:hAnsi="Arial" w:cs="Arial"/>
          <w:b/>
          <w:bCs/>
          <w:lang w:val="en-GB"/>
        </w:rPr>
        <w:t>Orlando, USA, November 18</w:t>
      </w:r>
      <w:r>
        <w:rPr>
          <w:rFonts w:ascii="Arial" w:eastAsia="Batang" w:hAnsi="Arial" w:cs="Arial"/>
          <w:b/>
          <w:bCs/>
          <w:vertAlign w:val="superscript"/>
          <w:lang w:val="en-GB"/>
        </w:rPr>
        <w:t>th</w:t>
      </w:r>
      <w:r>
        <w:rPr>
          <w:rFonts w:ascii="Arial" w:eastAsia="Batang" w:hAnsi="Arial" w:cs="Arial"/>
          <w:b/>
          <w:bCs/>
          <w:lang w:val="en-GB"/>
        </w:rPr>
        <w:t xml:space="preserve"> – August 22</w:t>
      </w:r>
      <w:r>
        <w:rPr>
          <w:rFonts w:ascii="Arial" w:eastAsia="Batang" w:hAnsi="Arial" w:cs="Arial"/>
          <w:b/>
          <w:bCs/>
          <w:vertAlign w:val="superscript"/>
          <w:lang w:val="en-GB"/>
        </w:rPr>
        <w:t>nd</w:t>
      </w:r>
      <w:r>
        <w:rPr>
          <w:rFonts w:ascii="Arial" w:eastAsia="Batang" w:hAnsi="Arial" w:cs="Arial"/>
          <w:b/>
          <w:bCs/>
          <w:lang w:val="en-GB"/>
        </w:rPr>
        <w:t>, 2024</w:t>
      </w:r>
    </w:p>
    <w:p w:rsidR="00435E6D" w:rsidRDefault="00435E6D">
      <w:pPr>
        <w:tabs>
          <w:tab w:val="center" w:pos="4536"/>
          <w:tab w:val="right" w:pos="9072"/>
        </w:tabs>
        <w:jc w:val="both"/>
        <w:rPr>
          <w:rFonts w:ascii="Arial" w:eastAsia="MS Mincho" w:hAnsi="Arial" w:cs="Arial"/>
          <w:b/>
          <w:bCs/>
          <w:lang w:val="en-GB" w:eastAsia="ja-JP"/>
        </w:rPr>
      </w:pPr>
    </w:p>
    <w:p w:rsidR="00435E6D" w:rsidRDefault="00000000">
      <w:pPr>
        <w:pStyle w:val="3GPPHeader"/>
        <w:jc w:val="both"/>
        <w:rPr>
          <w:sz w:val="22"/>
          <w:szCs w:val="22"/>
        </w:rPr>
      </w:pPr>
      <w:r>
        <w:rPr>
          <w:sz w:val="22"/>
          <w:szCs w:val="22"/>
        </w:rPr>
        <w:t>Agenda Item:</w:t>
      </w:r>
      <w:r>
        <w:rPr>
          <w:sz w:val="22"/>
          <w:szCs w:val="22"/>
        </w:rPr>
        <w:tab/>
        <w:t>8.3.2.1</w:t>
      </w:r>
    </w:p>
    <w:p w:rsidR="00435E6D" w:rsidRDefault="00000000">
      <w:pPr>
        <w:pStyle w:val="3GPPHeader"/>
        <w:jc w:val="both"/>
        <w:rPr>
          <w:sz w:val="22"/>
          <w:szCs w:val="22"/>
        </w:rPr>
      </w:pPr>
      <w:r>
        <w:rPr>
          <w:sz w:val="22"/>
          <w:szCs w:val="22"/>
        </w:rPr>
        <w:t>Source:</w:t>
      </w:r>
      <w:r>
        <w:rPr>
          <w:sz w:val="22"/>
          <w:szCs w:val="22"/>
        </w:rPr>
        <w:tab/>
        <w:t>Indian Institute of Technology Madras (IITM), IIT Kanpur</w:t>
      </w:r>
    </w:p>
    <w:p w:rsidR="00435E6D" w:rsidRDefault="00000000">
      <w:pPr>
        <w:pStyle w:val="3GPPHeader"/>
        <w:jc w:val="both"/>
        <w:rPr>
          <w:sz w:val="22"/>
          <w:szCs w:val="22"/>
          <w:lang w:val="en-US"/>
        </w:rPr>
      </w:pPr>
      <w:r>
        <w:rPr>
          <w:sz w:val="22"/>
          <w:szCs w:val="22"/>
        </w:rPr>
        <w:t>Title:</w:t>
      </w:r>
      <w:r>
        <w:rPr>
          <w:sz w:val="22"/>
          <w:szCs w:val="22"/>
        </w:rPr>
        <w:tab/>
        <w:t xml:space="preserve"> Simulation and evaluation of RRM measurement prediction</w:t>
      </w:r>
      <w:r>
        <w:rPr>
          <w:sz w:val="22"/>
          <w:szCs w:val="22"/>
          <w:lang w:val="en-US"/>
        </w:rPr>
        <w:t xml:space="preserve"> </w:t>
      </w:r>
    </w:p>
    <w:p w:rsidR="00435E6D" w:rsidRDefault="00000000">
      <w:pPr>
        <w:pStyle w:val="3GPPHeader"/>
        <w:jc w:val="both"/>
        <w:rPr>
          <w:sz w:val="22"/>
          <w:szCs w:val="22"/>
        </w:rPr>
      </w:pPr>
      <w:r>
        <w:rPr>
          <w:sz w:val="22"/>
          <w:szCs w:val="22"/>
        </w:rPr>
        <w:t>Document for:</w:t>
      </w:r>
      <w:r>
        <w:rPr>
          <w:sz w:val="22"/>
          <w:szCs w:val="22"/>
        </w:rPr>
        <w:tab/>
        <w:t>Discussion</w:t>
      </w:r>
    </w:p>
    <w:p w:rsidR="00435E6D" w:rsidRDefault="00435E6D">
      <w:pPr>
        <w:pStyle w:val="Heading1"/>
        <w:numPr>
          <w:ilvl w:val="0"/>
          <w:numId w:val="0"/>
        </w:numPr>
        <w:jc w:val="both"/>
      </w:pPr>
    </w:p>
    <w:p w:rsidR="00435E6D" w:rsidRPr="002F094F" w:rsidRDefault="00000000" w:rsidP="002F094F">
      <w:pPr>
        <w:spacing w:before="160" w:after="120"/>
        <w:jc w:val="both"/>
        <w:rPr>
          <w:b/>
          <w:bCs/>
          <w:sz w:val="32"/>
          <w:szCs w:val="32"/>
        </w:rPr>
      </w:pPr>
      <w:r w:rsidRPr="002F094F">
        <w:rPr>
          <w:b/>
          <w:bCs/>
          <w:sz w:val="32"/>
          <w:szCs w:val="32"/>
        </w:rPr>
        <w:t>Introduction</w:t>
      </w:r>
    </w:p>
    <w:p w:rsidR="00435E6D" w:rsidRDefault="00000000">
      <w:pPr>
        <w:spacing w:before="160" w:after="120"/>
        <w:jc w:val="both"/>
        <w:rPr>
          <w:sz w:val="22"/>
          <w:szCs w:val="22"/>
        </w:rPr>
      </w:pPr>
      <w:r>
        <w:rPr>
          <w:sz w:val="22"/>
          <w:szCs w:val="22"/>
        </w:rPr>
        <w:t xml:space="preserve">At the RAN 102 meeting, a new SID [1] on “Study on Artificial Intelligence (AI)/Machine Learning (ML) for mobility in NR” was approved. The primary objectives the SID are as follows, </w:t>
      </w:r>
    </w:p>
    <w:p w:rsidR="00435E6D" w:rsidRDefault="00000000">
      <w:pPr>
        <w:numPr>
          <w:ilvl w:val="0"/>
          <w:numId w:val="3"/>
        </w:numPr>
        <w:spacing w:before="160" w:line="276" w:lineRule="auto"/>
        <w:jc w:val="both"/>
        <w:rPr>
          <w:sz w:val="22"/>
          <w:szCs w:val="22"/>
        </w:rPr>
      </w:pPr>
      <w:r>
        <w:rPr>
          <w:sz w:val="22"/>
          <w:szCs w:val="22"/>
        </w:rPr>
        <w:t>RRM measurement prediction</w:t>
      </w:r>
    </w:p>
    <w:p w:rsidR="00435E6D" w:rsidRDefault="00000000">
      <w:pPr>
        <w:numPr>
          <w:ilvl w:val="0"/>
          <w:numId w:val="3"/>
        </w:numPr>
        <w:spacing w:line="276" w:lineRule="auto"/>
        <w:jc w:val="both"/>
        <w:rPr>
          <w:sz w:val="22"/>
          <w:szCs w:val="22"/>
        </w:rPr>
      </w:pPr>
      <w:r>
        <w:rPr>
          <w:sz w:val="22"/>
          <w:szCs w:val="22"/>
        </w:rPr>
        <w:t>Measurement event prediction</w:t>
      </w:r>
    </w:p>
    <w:p w:rsidR="00435E6D" w:rsidRDefault="00000000">
      <w:pPr>
        <w:numPr>
          <w:ilvl w:val="0"/>
          <w:numId w:val="3"/>
        </w:numPr>
        <w:spacing w:after="120" w:line="276" w:lineRule="auto"/>
        <w:jc w:val="both"/>
        <w:rPr>
          <w:sz w:val="22"/>
          <w:szCs w:val="22"/>
        </w:rPr>
      </w:pPr>
      <w:r>
        <w:rPr>
          <w:sz w:val="22"/>
          <w:szCs w:val="22"/>
        </w:rPr>
        <w:t>RLF HO failure prediction</w:t>
      </w:r>
    </w:p>
    <w:p w:rsidR="00435E6D" w:rsidRDefault="00000000">
      <w:pPr>
        <w:spacing w:before="160" w:after="120"/>
        <w:jc w:val="both"/>
        <w:rPr>
          <w:sz w:val="22"/>
          <w:szCs w:val="22"/>
        </w:rPr>
      </w:pPr>
      <w:r>
        <w:rPr>
          <w:sz w:val="22"/>
          <w:szCs w:val="22"/>
        </w:rPr>
        <w:t>At the RAN2 #125 bis meeting it was agreed to study the following cases for RRM measurement prediction</w:t>
      </w:r>
    </w:p>
    <w:p w:rsidR="00435E6D" w:rsidRDefault="00000000">
      <w:pPr>
        <w:pStyle w:val="ListParagraph"/>
        <w:numPr>
          <w:ilvl w:val="3"/>
          <w:numId w:val="3"/>
        </w:numPr>
        <w:spacing w:before="160" w:after="120"/>
        <w:ind w:left="709"/>
        <w:jc w:val="both"/>
        <w:rPr>
          <w:sz w:val="22"/>
          <w:szCs w:val="22"/>
        </w:rPr>
      </w:pPr>
      <w:r>
        <w:rPr>
          <w:sz w:val="22"/>
          <w:szCs w:val="22"/>
        </w:rPr>
        <w:t>Case 1: To predict beam level results, then generate cell level results based on the predicted beam results</w:t>
      </w:r>
    </w:p>
    <w:p w:rsidR="00435E6D" w:rsidRDefault="00000000">
      <w:pPr>
        <w:pStyle w:val="ListParagraph"/>
        <w:numPr>
          <w:ilvl w:val="3"/>
          <w:numId w:val="3"/>
        </w:numPr>
        <w:spacing w:before="160" w:after="120"/>
        <w:ind w:left="709"/>
        <w:jc w:val="both"/>
        <w:rPr>
          <w:sz w:val="22"/>
          <w:szCs w:val="22"/>
        </w:rPr>
      </w:pPr>
      <w:r>
        <w:rPr>
          <w:sz w:val="22"/>
          <w:szCs w:val="22"/>
        </w:rPr>
        <w:t>Case 2: To directly predict cell level results based on cell level results</w:t>
      </w:r>
    </w:p>
    <w:p w:rsidR="00435E6D" w:rsidRDefault="00000000">
      <w:pPr>
        <w:pStyle w:val="ListParagraph"/>
        <w:numPr>
          <w:ilvl w:val="3"/>
          <w:numId w:val="3"/>
        </w:numPr>
        <w:spacing w:before="160" w:after="120"/>
        <w:ind w:left="709"/>
        <w:jc w:val="both"/>
        <w:rPr>
          <w:sz w:val="22"/>
          <w:szCs w:val="22"/>
        </w:rPr>
      </w:pPr>
      <w:r>
        <w:rPr>
          <w:sz w:val="22"/>
          <w:szCs w:val="22"/>
        </w:rPr>
        <w:t>Case 3: To directly predict cell level results based on beam level results</w:t>
      </w:r>
    </w:p>
    <w:p w:rsidR="00435E6D" w:rsidRDefault="00000000">
      <w:pPr>
        <w:spacing w:before="240"/>
        <w:jc w:val="both"/>
        <w:rPr>
          <w:sz w:val="22"/>
          <w:szCs w:val="22"/>
        </w:rPr>
      </w:pPr>
      <w:r>
        <w:rPr>
          <w:sz w:val="22"/>
          <w:szCs w:val="22"/>
        </w:rPr>
        <w:t>Further, it was agreed in RAN2 #125 bis [2] and RAN2 #126 [3] to study the implementation of</w:t>
      </w:r>
      <w:r w:rsidR="002F094F">
        <w:rPr>
          <w:sz w:val="22"/>
          <w:szCs w:val="22"/>
        </w:rPr>
        <w:t xml:space="preserve"> the</w:t>
      </w:r>
      <w:r>
        <w:rPr>
          <w:sz w:val="22"/>
          <w:szCs w:val="22"/>
        </w:rPr>
        <w:t xml:space="preserve"> above cases in spatial domain, temporal domain and frequency domains. In continuation to the agreements in the </w:t>
      </w:r>
      <w:r w:rsidR="002F094F">
        <w:rPr>
          <w:sz w:val="22"/>
          <w:szCs w:val="22"/>
        </w:rPr>
        <w:t xml:space="preserve">prior </w:t>
      </w:r>
      <w:r>
        <w:rPr>
          <w:sz w:val="22"/>
          <w:szCs w:val="22"/>
        </w:rPr>
        <w:t xml:space="preserve">meetings, several simulation assumptions were also agreed for the development of AI/ML models for RRM predictions and the following study goals </w:t>
      </w:r>
      <w:r w:rsidR="002F094F">
        <w:rPr>
          <w:sz w:val="22"/>
          <w:szCs w:val="22"/>
        </w:rPr>
        <w:t>were</w:t>
      </w:r>
      <w:r>
        <w:rPr>
          <w:sz w:val="22"/>
          <w:szCs w:val="22"/>
        </w:rPr>
        <w:t xml:space="preserve"> fixed. This </w:t>
      </w:r>
      <w:r w:rsidR="002F094F">
        <w:rPr>
          <w:sz w:val="22"/>
          <w:szCs w:val="22"/>
        </w:rPr>
        <w:t>document</w:t>
      </w:r>
      <w:r>
        <w:rPr>
          <w:sz w:val="22"/>
          <w:szCs w:val="22"/>
        </w:rPr>
        <w:t xml:space="preserve"> focus</w:t>
      </w:r>
      <w:r w:rsidR="002F094F">
        <w:rPr>
          <w:sz w:val="22"/>
          <w:szCs w:val="22"/>
        </w:rPr>
        <w:t>es</w:t>
      </w:r>
      <w:r>
        <w:rPr>
          <w:sz w:val="22"/>
          <w:szCs w:val="22"/>
        </w:rPr>
        <w:t xml:space="preserve"> on case 4 highlighted in</w:t>
      </w:r>
      <w:r w:rsidR="002F094F">
        <w:rPr>
          <w:sz w:val="22"/>
          <w:szCs w:val="22"/>
        </w:rPr>
        <w:t xml:space="preserve"> T</w:t>
      </w:r>
      <w:r>
        <w:rPr>
          <w:sz w:val="22"/>
          <w:szCs w:val="22"/>
        </w:rPr>
        <w:t xml:space="preserve">able 1. </w:t>
      </w:r>
    </w:p>
    <w:p w:rsidR="00435E6D" w:rsidRDefault="00000000">
      <w:pPr>
        <w:spacing w:before="240"/>
        <w:jc w:val="both"/>
        <w:rPr>
          <w:sz w:val="22"/>
          <w:szCs w:val="22"/>
        </w:rPr>
      </w:pPr>
      <w:r>
        <w:rPr>
          <w:sz w:val="22"/>
          <w:szCs w:val="22"/>
        </w:rPr>
        <w:tab/>
      </w:r>
      <w:r>
        <w:rPr>
          <w:sz w:val="22"/>
          <w:szCs w:val="22"/>
        </w:rPr>
        <w:tab/>
        <w:t xml:space="preserve">Table 1. RRM prediction subcases and </w:t>
      </w:r>
      <w:r w:rsidR="002F094F">
        <w:rPr>
          <w:sz w:val="22"/>
          <w:szCs w:val="22"/>
        </w:rPr>
        <w:t>priorities</w:t>
      </w:r>
    </w:p>
    <w:tbl>
      <w:tblPr>
        <w:tblStyle w:val="TableGrid"/>
        <w:tblW w:w="8355" w:type="dxa"/>
        <w:jc w:val="center"/>
        <w:tblLayout w:type="fixed"/>
        <w:tblLook w:val="04A0" w:firstRow="1" w:lastRow="0" w:firstColumn="1" w:lastColumn="0" w:noHBand="0" w:noVBand="1"/>
      </w:tblPr>
      <w:tblGrid>
        <w:gridCol w:w="827"/>
        <w:gridCol w:w="1206"/>
        <w:gridCol w:w="4396"/>
        <w:gridCol w:w="1926"/>
      </w:tblGrid>
      <w:tr w:rsidR="00435E6D">
        <w:trPr>
          <w:jc w:val="center"/>
        </w:trPr>
        <w:tc>
          <w:tcPr>
            <w:tcW w:w="827" w:type="dxa"/>
          </w:tcPr>
          <w:p w:rsidR="00435E6D" w:rsidRDefault="00000000">
            <w:pPr>
              <w:pStyle w:val="BodyText"/>
              <w:spacing w:after="120"/>
              <w:rPr>
                <w:rFonts w:eastAsiaTheme="minorEastAsia"/>
                <w:sz w:val="18"/>
                <w:szCs w:val="18"/>
              </w:rPr>
            </w:pPr>
            <w:r>
              <w:rPr>
                <w:rFonts w:eastAsiaTheme="minorEastAsia"/>
                <w:sz w:val="18"/>
                <w:szCs w:val="18"/>
              </w:rPr>
              <w:t>Case number</w:t>
            </w:r>
          </w:p>
        </w:tc>
        <w:tc>
          <w:tcPr>
            <w:tcW w:w="1206" w:type="dxa"/>
          </w:tcPr>
          <w:p w:rsidR="00435E6D" w:rsidRDefault="00000000">
            <w:pPr>
              <w:pStyle w:val="BodyText"/>
              <w:spacing w:after="120"/>
              <w:rPr>
                <w:rFonts w:eastAsiaTheme="minorEastAsia"/>
                <w:sz w:val="18"/>
                <w:szCs w:val="18"/>
              </w:rPr>
            </w:pPr>
            <w:r>
              <w:rPr>
                <w:rFonts w:eastAsiaTheme="minorEastAsia"/>
                <w:sz w:val="18"/>
                <w:szCs w:val="18"/>
              </w:rPr>
              <w:t>Prioritization</w:t>
            </w:r>
          </w:p>
        </w:tc>
        <w:tc>
          <w:tcPr>
            <w:tcW w:w="4396" w:type="dxa"/>
          </w:tcPr>
          <w:p w:rsidR="00435E6D" w:rsidRDefault="00000000">
            <w:pPr>
              <w:pStyle w:val="BodyText"/>
              <w:spacing w:after="120"/>
              <w:rPr>
                <w:rFonts w:eastAsiaTheme="minorEastAsia"/>
                <w:sz w:val="18"/>
                <w:szCs w:val="18"/>
              </w:rPr>
            </w:pPr>
            <w:r>
              <w:rPr>
                <w:rFonts w:eastAsiaTheme="minorEastAsia"/>
                <w:sz w:val="18"/>
                <w:szCs w:val="18"/>
              </w:rPr>
              <w:t>Evaluation scenario combination</w:t>
            </w:r>
          </w:p>
        </w:tc>
        <w:tc>
          <w:tcPr>
            <w:tcW w:w="1926" w:type="dxa"/>
          </w:tcPr>
          <w:p w:rsidR="00435E6D" w:rsidRDefault="00000000">
            <w:pPr>
              <w:pStyle w:val="BodyText"/>
              <w:spacing w:after="120"/>
              <w:rPr>
                <w:rFonts w:eastAsiaTheme="minorEastAsia"/>
                <w:sz w:val="18"/>
                <w:szCs w:val="18"/>
              </w:rPr>
            </w:pPr>
            <w:r>
              <w:rPr>
                <w:rFonts w:eastAsiaTheme="minorEastAsia"/>
                <w:sz w:val="18"/>
                <w:szCs w:val="18"/>
              </w:rPr>
              <w:t>Target study goal</w:t>
            </w:r>
          </w:p>
        </w:tc>
      </w:tr>
      <w:tr w:rsidR="00435E6D">
        <w:trPr>
          <w:jc w:val="center"/>
        </w:trPr>
        <w:tc>
          <w:tcPr>
            <w:tcW w:w="827" w:type="dxa"/>
          </w:tcPr>
          <w:p w:rsidR="00435E6D" w:rsidRDefault="00000000">
            <w:pPr>
              <w:pStyle w:val="BodyText"/>
              <w:spacing w:after="120"/>
              <w:rPr>
                <w:rFonts w:eastAsiaTheme="minorEastAsia"/>
                <w:sz w:val="18"/>
                <w:szCs w:val="18"/>
              </w:rPr>
            </w:pPr>
            <w:r>
              <w:rPr>
                <w:rFonts w:eastAsiaTheme="minorEastAsia"/>
                <w:sz w:val="18"/>
                <w:szCs w:val="18"/>
              </w:rPr>
              <w:t>1</w:t>
            </w:r>
          </w:p>
        </w:tc>
        <w:tc>
          <w:tcPr>
            <w:tcW w:w="1206" w:type="dxa"/>
          </w:tcPr>
          <w:p w:rsidR="00435E6D" w:rsidRDefault="00000000">
            <w:pPr>
              <w:pStyle w:val="BodyText"/>
              <w:spacing w:after="120"/>
              <w:rPr>
                <w:rFonts w:eastAsiaTheme="minorEastAsia"/>
                <w:sz w:val="18"/>
                <w:szCs w:val="18"/>
              </w:rPr>
            </w:pPr>
            <w:r>
              <w:rPr>
                <w:rFonts w:eastAsiaTheme="minorEastAsia"/>
                <w:sz w:val="18"/>
                <w:szCs w:val="18"/>
              </w:rPr>
              <w:t>Low</w:t>
            </w:r>
          </w:p>
        </w:tc>
        <w:tc>
          <w:tcPr>
            <w:tcW w:w="4396" w:type="dxa"/>
          </w:tcPr>
          <w:p w:rsidR="00435E6D" w:rsidRDefault="00000000">
            <w:pPr>
              <w:pStyle w:val="BodyText"/>
              <w:spacing w:after="120"/>
              <w:rPr>
                <w:rFonts w:eastAsiaTheme="minorEastAsia"/>
                <w:sz w:val="18"/>
                <w:szCs w:val="18"/>
              </w:rPr>
            </w:pPr>
            <w:r>
              <w:rPr>
                <w:sz w:val="18"/>
                <w:szCs w:val="18"/>
                <w:lang w:val="de-DE"/>
              </w:rPr>
              <w:t>FR1 to FR1 intra-frequency temporal domain case A</w:t>
            </w:r>
          </w:p>
        </w:tc>
        <w:tc>
          <w:tcPr>
            <w:tcW w:w="1926" w:type="dxa"/>
          </w:tcPr>
          <w:p w:rsidR="00435E6D" w:rsidRDefault="00000000">
            <w:pPr>
              <w:pStyle w:val="BodyText"/>
              <w:spacing w:after="120"/>
              <w:rPr>
                <w:rFonts w:eastAsiaTheme="minorEastAsia"/>
                <w:sz w:val="18"/>
                <w:szCs w:val="18"/>
              </w:rPr>
            </w:pPr>
            <w:r>
              <w:rPr>
                <w:rFonts w:eastAsiaTheme="minorEastAsia"/>
                <w:sz w:val="18"/>
                <w:szCs w:val="18"/>
              </w:rPr>
              <w:t>2</w:t>
            </w:r>
            <w:r>
              <w:rPr>
                <w:rFonts w:eastAsiaTheme="minorEastAsia"/>
                <w:sz w:val="18"/>
                <w:szCs w:val="18"/>
                <w:vertAlign w:val="superscript"/>
              </w:rPr>
              <w:t>nd</w:t>
            </w:r>
            <w:r>
              <w:rPr>
                <w:rFonts w:eastAsiaTheme="minorEastAsia"/>
                <w:sz w:val="18"/>
                <w:szCs w:val="18"/>
              </w:rPr>
              <w:t xml:space="preserve"> goal</w:t>
            </w:r>
          </w:p>
        </w:tc>
      </w:tr>
      <w:tr w:rsidR="00435E6D">
        <w:trPr>
          <w:jc w:val="center"/>
        </w:trPr>
        <w:tc>
          <w:tcPr>
            <w:tcW w:w="827" w:type="dxa"/>
          </w:tcPr>
          <w:p w:rsidR="00435E6D" w:rsidRDefault="00000000">
            <w:pPr>
              <w:pStyle w:val="BodyText"/>
              <w:spacing w:after="120"/>
              <w:rPr>
                <w:rFonts w:eastAsiaTheme="minorEastAsia"/>
                <w:sz w:val="18"/>
                <w:szCs w:val="18"/>
              </w:rPr>
            </w:pPr>
            <w:r>
              <w:rPr>
                <w:rFonts w:eastAsiaTheme="minorEastAsia"/>
                <w:sz w:val="18"/>
                <w:szCs w:val="18"/>
              </w:rPr>
              <w:t>2</w:t>
            </w:r>
          </w:p>
        </w:tc>
        <w:tc>
          <w:tcPr>
            <w:tcW w:w="1206" w:type="dxa"/>
          </w:tcPr>
          <w:p w:rsidR="00435E6D" w:rsidRDefault="00000000">
            <w:pPr>
              <w:pStyle w:val="BodyText"/>
              <w:spacing w:after="120"/>
              <w:rPr>
                <w:rFonts w:eastAsiaTheme="minorEastAsia"/>
                <w:sz w:val="18"/>
                <w:szCs w:val="18"/>
              </w:rPr>
            </w:pPr>
            <w:r>
              <w:rPr>
                <w:rFonts w:eastAsiaTheme="minorEastAsia"/>
                <w:sz w:val="18"/>
                <w:szCs w:val="18"/>
              </w:rPr>
              <w:t>High</w:t>
            </w:r>
          </w:p>
        </w:tc>
        <w:tc>
          <w:tcPr>
            <w:tcW w:w="4396" w:type="dxa"/>
          </w:tcPr>
          <w:p w:rsidR="00435E6D" w:rsidRDefault="00000000">
            <w:pPr>
              <w:pStyle w:val="BodyText"/>
              <w:spacing w:after="120"/>
              <w:rPr>
                <w:rFonts w:eastAsiaTheme="minorEastAsia"/>
                <w:sz w:val="18"/>
                <w:szCs w:val="18"/>
              </w:rPr>
            </w:pPr>
            <w:r>
              <w:rPr>
                <w:sz w:val="18"/>
                <w:szCs w:val="18"/>
                <w:lang w:val="de-DE"/>
              </w:rPr>
              <w:t>FR1 to FR1 intra-frequency temporal domain case B</w:t>
            </w:r>
          </w:p>
        </w:tc>
        <w:tc>
          <w:tcPr>
            <w:tcW w:w="1926" w:type="dxa"/>
          </w:tcPr>
          <w:p w:rsidR="00435E6D" w:rsidRDefault="00000000">
            <w:pPr>
              <w:pStyle w:val="BodyText"/>
              <w:spacing w:after="120"/>
              <w:rPr>
                <w:rFonts w:eastAsiaTheme="minorEastAsia"/>
                <w:sz w:val="18"/>
                <w:szCs w:val="18"/>
              </w:rPr>
            </w:pPr>
            <w:r>
              <w:rPr>
                <w:rFonts w:eastAsiaTheme="minorEastAsia"/>
                <w:sz w:val="18"/>
                <w:szCs w:val="18"/>
              </w:rPr>
              <w:t>1</w:t>
            </w:r>
            <w:r>
              <w:rPr>
                <w:rFonts w:eastAsiaTheme="minorEastAsia"/>
                <w:sz w:val="18"/>
                <w:szCs w:val="18"/>
                <w:vertAlign w:val="superscript"/>
              </w:rPr>
              <w:t>st</w:t>
            </w:r>
            <w:r>
              <w:rPr>
                <w:rFonts w:eastAsiaTheme="minorEastAsia"/>
                <w:sz w:val="18"/>
                <w:szCs w:val="18"/>
              </w:rPr>
              <w:t xml:space="preserve"> goal</w:t>
            </w:r>
          </w:p>
        </w:tc>
      </w:tr>
      <w:tr w:rsidR="00435E6D">
        <w:trPr>
          <w:jc w:val="center"/>
        </w:trPr>
        <w:tc>
          <w:tcPr>
            <w:tcW w:w="827" w:type="dxa"/>
            <w:tcBorders>
              <w:top w:val="nil"/>
            </w:tcBorders>
          </w:tcPr>
          <w:p w:rsidR="00435E6D" w:rsidRDefault="00000000">
            <w:pPr>
              <w:pStyle w:val="BodyText"/>
              <w:spacing w:after="120"/>
              <w:rPr>
                <w:rFonts w:eastAsiaTheme="minorEastAsia"/>
                <w:sz w:val="18"/>
                <w:szCs w:val="18"/>
              </w:rPr>
            </w:pPr>
            <w:r>
              <w:rPr>
                <w:rFonts w:eastAsiaTheme="minorEastAsia"/>
                <w:sz w:val="18"/>
                <w:szCs w:val="18"/>
              </w:rPr>
              <w:t>3</w:t>
            </w:r>
          </w:p>
        </w:tc>
        <w:tc>
          <w:tcPr>
            <w:tcW w:w="1206" w:type="dxa"/>
            <w:tcBorders>
              <w:top w:val="nil"/>
            </w:tcBorders>
          </w:tcPr>
          <w:p w:rsidR="00435E6D" w:rsidRDefault="00000000">
            <w:pPr>
              <w:pStyle w:val="BodyText"/>
              <w:spacing w:after="120"/>
              <w:rPr>
                <w:rFonts w:eastAsiaTheme="minorEastAsia"/>
                <w:sz w:val="18"/>
                <w:szCs w:val="18"/>
              </w:rPr>
            </w:pPr>
            <w:r>
              <w:rPr>
                <w:rFonts w:eastAsiaTheme="minorEastAsia"/>
                <w:sz w:val="18"/>
                <w:szCs w:val="18"/>
              </w:rPr>
              <w:t>High</w:t>
            </w:r>
          </w:p>
        </w:tc>
        <w:tc>
          <w:tcPr>
            <w:tcW w:w="4396" w:type="dxa"/>
            <w:tcBorders>
              <w:top w:val="nil"/>
            </w:tcBorders>
          </w:tcPr>
          <w:p w:rsidR="00435E6D" w:rsidRDefault="00000000">
            <w:pPr>
              <w:pStyle w:val="BodyText"/>
              <w:spacing w:after="120"/>
              <w:rPr>
                <w:rFonts w:eastAsiaTheme="minorEastAsia"/>
                <w:sz w:val="18"/>
                <w:szCs w:val="18"/>
              </w:rPr>
            </w:pPr>
            <w:r>
              <w:rPr>
                <w:rFonts w:eastAsiaTheme="minorEastAsia"/>
                <w:sz w:val="18"/>
                <w:szCs w:val="18"/>
              </w:rPr>
              <w:t>FR1 to FR1 inter-frequency (frequency domain)</w:t>
            </w:r>
          </w:p>
        </w:tc>
        <w:tc>
          <w:tcPr>
            <w:tcW w:w="1926" w:type="dxa"/>
            <w:tcBorders>
              <w:top w:val="nil"/>
            </w:tcBorders>
          </w:tcPr>
          <w:p w:rsidR="00435E6D" w:rsidRDefault="00000000">
            <w:pPr>
              <w:pStyle w:val="BodyText"/>
              <w:spacing w:after="120"/>
              <w:rPr>
                <w:rFonts w:eastAsiaTheme="minorEastAsia"/>
                <w:sz w:val="18"/>
                <w:szCs w:val="18"/>
              </w:rPr>
            </w:pPr>
            <w:r>
              <w:rPr>
                <w:rFonts w:eastAsiaTheme="minorEastAsia"/>
                <w:sz w:val="18"/>
                <w:szCs w:val="18"/>
              </w:rPr>
              <w:t>1</w:t>
            </w:r>
            <w:r>
              <w:rPr>
                <w:rFonts w:eastAsiaTheme="minorEastAsia"/>
                <w:sz w:val="18"/>
                <w:szCs w:val="18"/>
                <w:vertAlign w:val="superscript"/>
              </w:rPr>
              <w:t>st</w:t>
            </w:r>
            <w:r>
              <w:rPr>
                <w:rFonts w:eastAsiaTheme="minorEastAsia"/>
                <w:sz w:val="18"/>
                <w:szCs w:val="18"/>
              </w:rPr>
              <w:t xml:space="preserve"> goal </w:t>
            </w:r>
          </w:p>
        </w:tc>
      </w:tr>
      <w:tr w:rsidR="00435E6D">
        <w:trPr>
          <w:jc w:val="center"/>
        </w:trPr>
        <w:tc>
          <w:tcPr>
            <w:tcW w:w="827" w:type="dxa"/>
          </w:tcPr>
          <w:p w:rsidR="00435E6D" w:rsidRDefault="00000000">
            <w:pPr>
              <w:pStyle w:val="BodyText"/>
              <w:spacing w:after="120"/>
              <w:rPr>
                <w:shd w:val="clear" w:color="auto" w:fill="468A1A"/>
              </w:rPr>
            </w:pPr>
            <w:r>
              <w:rPr>
                <w:rFonts w:eastAsiaTheme="minorEastAsia"/>
                <w:sz w:val="18"/>
                <w:szCs w:val="18"/>
                <w:shd w:val="clear" w:color="auto" w:fill="468A1A"/>
              </w:rPr>
              <w:t>4</w:t>
            </w:r>
          </w:p>
        </w:tc>
        <w:tc>
          <w:tcPr>
            <w:tcW w:w="1206" w:type="dxa"/>
          </w:tcPr>
          <w:p w:rsidR="00435E6D" w:rsidRDefault="00000000">
            <w:pPr>
              <w:pStyle w:val="BodyText"/>
              <w:spacing w:after="120"/>
              <w:rPr>
                <w:shd w:val="clear" w:color="auto" w:fill="468A1A"/>
              </w:rPr>
            </w:pPr>
            <w:r>
              <w:rPr>
                <w:rFonts w:eastAsiaTheme="minorEastAsia"/>
                <w:sz w:val="18"/>
                <w:szCs w:val="18"/>
                <w:shd w:val="clear" w:color="auto" w:fill="468A1A"/>
              </w:rPr>
              <w:t>High</w:t>
            </w:r>
          </w:p>
        </w:tc>
        <w:tc>
          <w:tcPr>
            <w:tcW w:w="4396" w:type="dxa"/>
          </w:tcPr>
          <w:p w:rsidR="00435E6D" w:rsidRDefault="00000000">
            <w:pPr>
              <w:pStyle w:val="BodyText"/>
              <w:spacing w:after="120"/>
              <w:rPr>
                <w:shd w:val="clear" w:color="auto" w:fill="468A1A"/>
                <w:lang w:val="de-DE"/>
              </w:rPr>
            </w:pPr>
            <w:r>
              <w:rPr>
                <w:sz w:val="18"/>
                <w:szCs w:val="18"/>
                <w:shd w:val="clear" w:color="auto" w:fill="468A1A"/>
                <w:lang w:val="de-DE"/>
              </w:rPr>
              <w:t>FR2 to FR2 intra-frequency temporal domain case A</w:t>
            </w:r>
          </w:p>
        </w:tc>
        <w:tc>
          <w:tcPr>
            <w:tcW w:w="1926" w:type="dxa"/>
          </w:tcPr>
          <w:p w:rsidR="00435E6D" w:rsidRDefault="00000000">
            <w:pPr>
              <w:pStyle w:val="BodyText"/>
              <w:spacing w:after="120"/>
              <w:rPr>
                <w:shd w:val="clear" w:color="auto" w:fill="468A1A"/>
              </w:rPr>
            </w:pPr>
            <w:r>
              <w:rPr>
                <w:rFonts w:eastAsiaTheme="minorEastAsia"/>
                <w:sz w:val="18"/>
                <w:szCs w:val="18"/>
                <w:shd w:val="clear" w:color="auto" w:fill="468A1A"/>
              </w:rPr>
              <w:t>2</w:t>
            </w:r>
            <w:r>
              <w:rPr>
                <w:rFonts w:eastAsiaTheme="minorEastAsia"/>
                <w:sz w:val="18"/>
                <w:szCs w:val="18"/>
                <w:shd w:val="clear" w:color="auto" w:fill="468A1A"/>
                <w:vertAlign w:val="superscript"/>
              </w:rPr>
              <w:t>nd</w:t>
            </w:r>
            <w:r>
              <w:rPr>
                <w:rFonts w:eastAsiaTheme="minorEastAsia"/>
                <w:sz w:val="18"/>
                <w:szCs w:val="18"/>
                <w:shd w:val="clear" w:color="auto" w:fill="468A1A"/>
              </w:rPr>
              <w:t xml:space="preserve"> goal</w:t>
            </w:r>
          </w:p>
        </w:tc>
      </w:tr>
      <w:tr w:rsidR="00435E6D">
        <w:trPr>
          <w:jc w:val="center"/>
        </w:trPr>
        <w:tc>
          <w:tcPr>
            <w:tcW w:w="827" w:type="dxa"/>
          </w:tcPr>
          <w:p w:rsidR="00435E6D" w:rsidRDefault="00000000">
            <w:pPr>
              <w:pStyle w:val="BodyText"/>
              <w:spacing w:after="120"/>
              <w:rPr>
                <w:rFonts w:eastAsiaTheme="minorEastAsia"/>
                <w:sz w:val="18"/>
                <w:szCs w:val="18"/>
              </w:rPr>
            </w:pPr>
            <w:r>
              <w:rPr>
                <w:rFonts w:eastAsiaTheme="minorEastAsia"/>
                <w:sz w:val="18"/>
                <w:szCs w:val="18"/>
              </w:rPr>
              <w:t>5</w:t>
            </w:r>
          </w:p>
        </w:tc>
        <w:tc>
          <w:tcPr>
            <w:tcW w:w="1206" w:type="dxa"/>
          </w:tcPr>
          <w:p w:rsidR="00435E6D" w:rsidRDefault="00000000">
            <w:pPr>
              <w:pStyle w:val="BodyText"/>
              <w:spacing w:after="120"/>
              <w:rPr>
                <w:rFonts w:eastAsiaTheme="minorEastAsia"/>
                <w:sz w:val="18"/>
                <w:szCs w:val="18"/>
              </w:rPr>
            </w:pPr>
            <w:r>
              <w:rPr>
                <w:rFonts w:eastAsiaTheme="minorEastAsia"/>
                <w:sz w:val="18"/>
                <w:szCs w:val="18"/>
              </w:rPr>
              <w:t>Low</w:t>
            </w:r>
          </w:p>
        </w:tc>
        <w:tc>
          <w:tcPr>
            <w:tcW w:w="4396" w:type="dxa"/>
          </w:tcPr>
          <w:p w:rsidR="00435E6D" w:rsidRDefault="00000000">
            <w:pPr>
              <w:pStyle w:val="BodyText"/>
              <w:spacing w:after="120"/>
              <w:rPr>
                <w:rFonts w:eastAsiaTheme="minorEastAsia"/>
                <w:sz w:val="18"/>
                <w:szCs w:val="18"/>
              </w:rPr>
            </w:pPr>
            <w:r>
              <w:rPr>
                <w:sz w:val="18"/>
                <w:szCs w:val="18"/>
                <w:lang w:val="de-DE"/>
              </w:rPr>
              <w:t>FR2 to FR2 intra-frequency temporal domain case B</w:t>
            </w:r>
          </w:p>
        </w:tc>
        <w:tc>
          <w:tcPr>
            <w:tcW w:w="1926" w:type="dxa"/>
          </w:tcPr>
          <w:p w:rsidR="00435E6D" w:rsidRDefault="00000000">
            <w:pPr>
              <w:pStyle w:val="BodyText"/>
              <w:spacing w:after="120"/>
              <w:rPr>
                <w:rFonts w:eastAsiaTheme="minorEastAsia"/>
                <w:sz w:val="18"/>
                <w:szCs w:val="18"/>
              </w:rPr>
            </w:pPr>
            <w:r>
              <w:rPr>
                <w:rFonts w:eastAsiaTheme="minorEastAsia"/>
                <w:sz w:val="18"/>
                <w:szCs w:val="18"/>
              </w:rPr>
              <w:t>1</w:t>
            </w:r>
            <w:r>
              <w:rPr>
                <w:rFonts w:eastAsiaTheme="minorEastAsia"/>
                <w:sz w:val="18"/>
                <w:szCs w:val="18"/>
                <w:vertAlign w:val="superscript"/>
              </w:rPr>
              <w:t>st</w:t>
            </w:r>
            <w:r>
              <w:rPr>
                <w:rFonts w:eastAsiaTheme="minorEastAsia"/>
                <w:sz w:val="18"/>
                <w:szCs w:val="18"/>
              </w:rPr>
              <w:t xml:space="preserve"> goal</w:t>
            </w:r>
          </w:p>
        </w:tc>
      </w:tr>
      <w:tr w:rsidR="00435E6D">
        <w:trPr>
          <w:jc w:val="center"/>
        </w:trPr>
        <w:tc>
          <w:tcPr>
            <w:tcW w:w="827" w:type="dxa"/>
          </w:tcPr>
          <w:p w:rsidR="00435E6D" w:rsidRDefault="00000000">
            <w:pPr>
              <w:pStyle w:val="BodyText"/>
              <w:spacing w:after="120"/>
              <w:rPr>
                <w:rFonts w:eastAsiaTheme="minorEastAsia"/>
                <w:sz w:val="18"/>
                <w:szCs w:val="18"/>
              </w:rPr>
            </w:pPr>
            <w:r>
              <w:rPr>
                <w:rFonts w:eastAsiaTheme="minorEastAsia"/>
                <w:sz w:val="18"/>
                <w:szCs w:val="18"/>
              </w:rPr>
              <w:t>6</w:t>
            </w:r>
          </w:p>
        </w:tc>
        <w:tc>
          <w:tcPr>
            <w:tcW w:w="1206" w:type="dxa"/>
          </w:tcPr>
          <w:p w:rsidR="00435E6D" w:rsidRDefault="00000000">
            <w:pPr>
              <w:pStyle w:val="BodyText"/>
              <w:spacing w:after="120"/>
              <w:rPr>
                <w:rFonts w:eastAsiaTheme="minorEastAsia"/>
                <w:sz w:val="18"/>
                <w:szCs w:val="18"/>
              </w:rPr>
            </w:pPr>
            <w:r>
              <w:rPr>
                <w:rFonts w:eastAsiaTheme="minorEastAsia"/>
                <w:sz w:val="18"/>
                <w:szCs w:val="18"/>
              </w:rPr>
              <w:t>Middle</w:t>
            </w:r>
          </w:p>
        </w:tc>
        <w:tc>
          <w:tcPr>
            <w:tcW w:w="4396" w:type="dxa"/>
          </w:tcPr>
          <w:p w:rsidR="00435E6D" w:rsidRDefault="00000000">
            <w:pPr>
              <w:pStyle w:val="BodyText"/>
              <w:spacing w:after="120"/>
              <w:rPr>
                <w:rFonts w:eastAsiaTheme="minorEastAsia"/>
                <w:sz w:val="18"/>
                <w:szCs w:val="18"/>
              </w:rPr>
            </w:pPr>
            <w:r>
              <w:rPr>
                <w:sz w:val="18"/>
                <w:szCs w:val="18"/>
                <w:lang w:val="de-DE"/>
              </w:rPr>
              <w:t>FR2 to FR2 intra-frequency spatial domain</w:t>
            </w:r>
          </w:p>
        </w:tc>
        <w:tc>
          <w:tcPr>
            <w:tcW w:w="1926" w:type="dxa"/>
          </w:tcPr>
          <w:p w:rsidR="00435E6D" w:rsidRDefault="00000000">
            <w:pPr>
              <w:pStyle w:val="BodyText"/>
              <w:spacing w:after="120"/>
              <w:rPr>
                <w:rFonts w:eastAsiaTheme="minorEastAsia"/>
                <w:sz w:val="18"/>
                <w:szCs w:val="18"/>
              </w:rPr>
            </w:pPr>
            <w:r>
              <w:rPr>
                <w:rFonts w:eastAsiaTheme="minorEastAsia"/>
                <w:sz w:val="18"/>
                <w:szCs w:val="18"/>
              </w:rPr>
              <w:t>2</w:t>
            </w:r>
            <w:r>
              <w:rPr>
                <w:rFonts w:eastAsiaTheme="minorEastAsia"/>
                <w:sz w:val="18"/>
                <w:szCs w:val="18"/>
                <w:vertAlign w:val="superscript"/>
              </w:rPr>
              <w:t>nd</w:t>
            </w:r>
            <w:r>
              <w:rPr>
                <w:rFonts w:eastAsiaTheme="minorEastAsia"/>
                <w:sz w:val="18"/>
                <w:szCs w:val="18"/>
              </w:rPr>
              <w:t xml:space="preserve"> goal</w:t>
            </w:r>
          </w:p>
        </w:tc>
      </w:tr>
    </w:tbl>
    <w:p w:rsidR="00435E6D" w:rsidRPr="002F094F" w:rsidRDefault="00000000">
      <w:pPr>
        <w:spacing w:before="240"/>
        <w:jc w:val="both"/>
        <w:rPr>
          <w:sz w:val="22"/>
          <w:szCs w:val="22"/>
        </w:rPr>
      </w:pPr>
      <w:r w:rsidRPr="002F094F">
        <w:rPr>
          <w:sz w:val="22"/>
          <w:szCs w:val="22"/>
        </w:rPr>
        <w:t xml:space="preserve">Based on above-mentioned agreements and simulation assumptions, this document focuses on the development of AI/ML models for RRM prediction - specifically for FR2 intra frequency intra cell prediction in the temporal domain. </w:t>
      </w:r>
    </w:p>
    <w:p w:rsidR="00435E6D" w:rsidRPr="002F094F" w:rsidRDefault="00000000">
      <w:pPr>
        <w:spacing w:before="240"/>
        <w:jc w:val="both"/>
        <w:rPr>
          <w:b/>
          <w:bCs/>
          <w:sz w:val="32"/>
          <w:szCs w:val="32"/>
        </w:rPr>
      </w:pPr>
      <w:r w:rsidRPr="002F094F">
        <w:rPr>
          <w:b/>
          <w:bCs/>
          <w:sz w:val="32"/>
          <w:szCs w:val="32"/>
        </w:rPr>
        <w:t>FR2 to FR2 intra-frequency temporal domain case A:</w:t>
      </w:r>
    </w:p>
    <w:p w:rsidR="00435E6D" w:rsidRDefault="00000000">
      <w:pPr>
        <w:spacing w:before="240"/>
        <w:jc w:val="both"/>
        <w:rPr>
          <w:sz w:val="22"/>
          <w:szCs w:val="22"/>
        </w:rPr>
      </w:pPr>
      <w:r>
        <w:rPr>
          <w:sz w:val="22"/>
          <w:szCs w:val="22"/>
        </w:rPr>
        <w:lastRenderedPageBreak/>
        <w:t xml:space="preserve">As shown in </w:t>
      </w:r>
      <w:r w:rsidR="002F094F">
        <w:rPr>
          <w:sz w:val="22"/>
          <w:szCs w:val="22"/>
        </w:rPr>
        <w:t>F</w:t>
      </w:r>
      <w:r>
        <w:rPr>
          <w:sz w:val="22"/>
          <w:szCs w:val="22"/>
        </w:rPr>
        <w:t>igure 1</w:t>
      </w:r>
      <w:r w:rsidR="002F094F">
        <w:rPr>
          <w:sz w:val="22"/>
          <w:szCs w:val="22"/>
        </w:rPr>
        <w:t>,</w:t>
      </w:r>
      <w:r>
        <w:rPr>
          <w:sz w:val="22"/>
          <w:szCs w:val="22"/>
        </w:rPr>
        <w:t xml:space="preserve"> </w:t>
      </w:r>
      <w:r w:rsidR="002F094F">
        <w:rPr>
          <w:sz w:val="22"/>
          <w:szCs w:val="22"/>
        </w:rPr>
        <w:t>i</w:t>
      </w:r>
      <w:r>
        <w:rPr>
          <w:sz w:val="22"/>
          <w:szCs w:val="22"/>
        </w:rPr>
        <w:t xml:space="preserve">n the intra-frequency temporal domain Case A, </w:t>
      </w:r>
      <w:r w:rsidR="002F094F">
        <w:rPr>
          <w:sz w:val="22"/>
          <w:szCs w:val="22"/>
        </w:rPr>
        <w:t>(</w:t>
      </w:r>
      <w:r>
        <w:rPr>
          <w:sz w:val="22"/>
          <w:szCs w:val="22"/>
        </w:rPr>
        <w:t>X times Tper</w:t>
      </w:r>
      <w:r w:rsidR="002F094F">
        <w:rPr>
          <w:sz w:val="22"/>
          <w:szCs w:val="22"/>
        </w:rPr>
        <w:t>)</w:t>
      </w:r>
      <w:r>
        <w:rPr>
          <w:sz w:val="22"/>
          <w:szCs w:val="22"/>
        </w:rPr>
        <w:t xml:space="preserve"> measurements (</w:t>
      </w:r>
      <w:r w:rsidR="006254D0">
        <w:rPr>
          <w:sz w:val="22"/>
          <w:szCs w:val="22"/>
        </w:rPr>
        <w:t xml:space="preserve">RSRPs </w:t>
      </w:r>
      <w:r w:rsidR="002F094F">
        <w:rPr>
          <w:sz w:val="22"/>
          <w:szCs w:val="22"/>
        </w:rPr>
        <w:t xml:space="preserve">with dimension </w:t>
      </w:r>
      <w:r>
        <w:rPr>
          <w:sz w:val="22"/>
          <w:szCs w:val="22"/>
        </w:rPr>
        <w:t>N_Tx*N_Rx) are given as inputs and</w:t>
      </w:r>
      <w:r w:rsidR="002F094F">
        <w:rPr>
          <w:sz w:val="22"/>
          <w:szCs w:val="22"/>
        </w:rPr>
        <w:t xml:space="preserve"> we need to predict</w:t>
      </w:r>
      <w:r>
        <w:rPr>
          <w:sz w:val="22"/>
          <w:szCs w:val="22"/>
        </w:rPr>
        <w:t xml:space="preserve"> </w:t>
      </w:r>
      <w:r w:rsidR="002F094F">
        <w:rPr>
          <w:sz w:val="22"/>
          <w:szCs w:val="22"/>
        </w:rPr>
        <w:t>(</w:t>
      </w:r>
      <w:r>
        <w:rPr>
          <w:sz w:val="22"/>
          <w:szCs w:val="22"/>
        </w:rPr>
        <w:t>Y times of Tper</w:t>
      </w:r>
      <w:r w:rsidR="002F094F">
        <w:rPr>
          <w:sz w:val="22"/>
          <w:szCs w:val="22"/>
        </w:rPr>
        <w:t>)</w:t>
      </w:r>
      <w:r>
        <w:rPr>
          <w:sz w:val="22"/>
          <w:szCs w:val="22"/>
        </w:rPr>
        <w:t xml:space="preserve"> highest RSRP for each Tper. </w:t>
      </w:r>
    </w:p>
    <w:p w:rsidR="00435E6D" w:rsidRDefault="00000000">
      <w:pPr>
        <w:spacing w:before="240"/>
        <w:jc w:val="both"/>
        <w:rPr>
          <w:b/>
          <w:bCs/>
          <w:sz w:val="22"/>
          <w:szCs w:val="22"/>
        </w:rPr>
      </w:pPr>
      <w:r>
        <w:rPr>
          <w:noProof/>
        </w:rPr>
        <w:drawing>
          <wp:inline distT="0" distB="0" distL="0" distR="0">
            <wp:extent cx="6120765" cy="17443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tretch>
                      <a:fillRect/>
                    </a:stretch>
                  </pic:blipFill>
                  <pic:spPr bwMode="auto">
                    <a:xfrm>
                      <a:off x="0" y="0"/>
                      <a:ext cx="6120765" cy="1744345"/>
                    </a:xfrm>
                    <a:prstGeom prst="rect">
                      <a:avLst/>
                    </a:prstGeom>
                  </pic:spPr>
                </pic:pic>
              </a:graphicData>
            </a:graphic>
          </wp:inline>
        </w:drawing>
      </w:r>
    </w:p>
    <w:p w:rsidR="00435E6D" w:rsidRDefault="00000000">
      <w:pPr>
        <w:pStyle w:val="ListParagraph"/>
        <w:spacing w:before="160" w:after="120"/>
        <w:jc w:val="both"/>
        <w:rPr>
          <w:b/>
          <w:bCs/>
          <w:i/>
          <w:iCs/>
          <w:sz w:val="22"/>
          <w:szCs w:val="22"/>
        </w:rPr>
      </w:pPr>
      <w:r>
        <w:rPr>
          <w:i/>
          <w:iCs/>
          <w:sz w:val="22"/>
          <w:szCs w:val="22"/>
        </w:rPr>
        <w:t xml:space="preserve">Figure 1. </w:t>
      </w:r>
      <w:r w:rsidR="008577AB">
        <w:rPr>
          <w:i/>
          <w:iCs/>
          <w:sz w:val="22"/>
          <w:szCs w:val="22"/>
        </w:rPr>
        <w:t>I</w:t>
      </w:r>
      <w:r>
        <w:rPr>
          <w:i/>
          <w:iCs/>
          <w:sz w:val="22"/>
          <w:szCs w:val="22"/>
        </w:rPr>
        <w:t>ntra-frequency</w:t>
      </w:r>
      <w:r w:rsidR="008577AB">
        <w:rPr>
          <w:i/>
          <w:iCs/>
          <w:sz w:val="22"/>
          <w:szCs w:val="22"/>
        </w:rPr>
        <w:t xml:space="preserve"> Intra-cell</w:t>
      </w:r>
      <w:r>
        <w:rPr>
          <w:i/>
          <w:iCs/>
          <w:sz w:val="22"/>
          <w:szCs w:val="22"/>
        </w:rPr>
        <w:t xml:space="preserve"> temporal domain Case A</w:t>
      </w:r>
      <w:r>
        <w:rPr>
          <w:b/>
          <w:bCs/>
          <w:i/>
          <w:iCs/>
          <w:sz w:val="22"/>
          <w:szCs w:val="22"/>
        </w:rPr>
        <w:t xml:space="preserve"> </w:t>
      </w:r>
    </w:p>
    <w:p w:rsidR="00435E6D" w:rsidRDefault="00435E6D">
      <w:pPr>
        <w:pStyle w:val="ListParagraph"/>
        <w:spacing w:before="240"/>
        <w:jc w:val="both"/>
        <w:rPr>
          <w:b/>
          <w:sz w:val="22"/>
          <w:szCs w:val="22"/>
        </w:rPr>
      </w:pPr>
    </w:p>
    <w:p w:rsidR="00435E6D" w:rsidRPr="002F094F" w:rsidRDefault="00000000" w:rsidP="002F094F">
      <w:pPr>
        <w:spacing w:before="240"/>
        <w:jc w:val="both"/>
        <w:rPr>
          <w:b/>
          <w:sz w:val="32"/>
          <w:szCs w:val="32"/>
        </w:rPr>
      </w:pPr>
      <w:r w:rsidRPr="002F094F">
        <w:rPr>
          <w:b/>
          <w:sz w:val="32"/>
          <w:szCs w:val="32"/>
        </w:rPr>
        <w:t>Generation of dataset</w:t>
      </w:r>
    </w:p>
    <w:p w:rsidR="00435E6D" w:rsidRDefault="00000000">
      <w:pPr>
        <w:spacing w:before="240"/>
        <w:jc w:val="both"/>
        <w:rPr>
          <w:sz w:val="22"/>
          <w:szCs w:val="22"/>
        </w:rPr>
      </w:pPr>
      <w:r>
        <w:rPr>
          <w:sz w:val="22"/>
          <w:szCs w:val="22"/>
        </w:rPr>
        <w:t xml:space="preserve">This section details the process for generating mobile UE trajectories for RRM prediction as well as the simulation assumptions used in data generation for training/testing </w:t>
      </w:r>
      <w:r w:rsidR="00520E49">
        <w:rPr>
          <w:sz w:val="22"/>
          <w:szCs w:val="22"/>
        </w:rPr>
        <w:t xml:space="preserve">of </w:t>
      </w:r>
      <w:r>
        <w:rPr>
          <w:sz w:val="22"/>
          <w:szCs w:val="22"/>
        </w:rPr>
        <w:t xml:space="preserve">ML methods. </w:t>
      </w:r>
    </w:p>
    <w:p w:rsidR="00435E6D" w:rsidRDefault="00435E6D">
      <w:pPr>
        <w:jc w:val="both"/>
        <w:rPr>
          <w:sz w:val="22"/>
          <w:szCs w:val="22"/>
        </w:rPr>
      </w:pPr>
    </w:p>
    <w:p w:rsidR="00435E6D" w:rsidRDefault="00000000">
      <w:pPr>
        <w:jc w:val="both"/>
        <w:rPr>
          <w:sz w:val="22"/>
          <w:szCs w:val="22"/>
        </w:rPr>
      </w:pPr>
      <w:r>
        <w:rPr>
          <w:sz w:val="22"/>
          <w:szCs w:val="22"/>
        </w:rPr>
        <w:t xml:space="preserve">The following are the characteristics of the data used in our simulations: </w:t>
      </w:r>
    </w:p>
    <w:p w:rsidR="00435E6D" w:rsidRDefault="00000000">
      <w:pPr>
        <w:pStyle w:val="ListParagraph"/>
        <w:numPr>
          <w:ilvl w:val="6"/>
          <w:numId w:val="3"/>
        </w:numPr>
        <w:ind w:left="709" w:hanging="283"/>
        <w:jc w:val="both"/>
        <w:rPr>
          <w:sz w:val="22"/>
          <w:szCs w:val="22"/>
        </w:rPr>
      </w:pPr>
      <w:r>
        <w:rPr>
          <w:sz w:val="22"/>
          <w:szCs w:val="22"/>
        </w:rPr>
        <w:t xml:space="preserve">UEs move on random tracks in a two-tier layout as shown in Figure </w:t>
      </w:r>
      <w:r w:rsidR="00520E49">
        <w:rPr>
          <w:sz w:val="22"/>
          <w:szCs w:val="22"/>
        </w:rPr>
        <w:t>2</w:t>
      </w:r>
      <w:r>
        <w:rPr>
          <w:sz w:val="22"/>
          <w:szCs w:val="22"/>
        </w:rPr>
        <w:t xml:space="preserve">. </w:t>
      </w:r>
    </w:p>
    <w:p w:rsidR="00435E6D" w:rsidRDefault="00000000">
      <w:pPr>
        <w:pStyle w:val="ListParagraph"/>
        <w:numPr>
          <w:ilvl w:val="6"/>
          <w:numId w:val="3"/>
        </w:numPr>
        <w:ind w:left="709" w:hanging="283"/>
        <w:jc w:val="both"/>
        <w:rPr>
          <w:sz w:val="22"/>
          <w:szCs w:val="22"/>
        </w:rPr>
      </w:pPr>
      <w:r>
        <w:rPr>
          <w:sz w:val="22"/>
          <w:szCs w:val="22"/>
        </w:rPr>
        <w:t>We define a track length, which is divided into segments. The segments are generated based on minimum length of 20, mean length of 40, standard deviation (of length) of 10, curve radius of 20 and turn probability of 0.7</w:t>
      </w:r>
    </w:p>
    <w:p w:rsidR="00435E6D" w:rsidRDefault="00000000">
      <w:pPr>
        <w:pStyle w:val="ListParagraph"/>
        <w:numPr>
          <w:ilvl w:val="6"/>
          <w:numId w:val="3"/>
        </w:numPr>
        <w:ind w:left="709" w:hanging="283"/>
        <w:jc w:val="both"/>
        <w:rPr>
          <w:sz w:val="22"/>
          <w:szCs w:val="22"/>
        </w:rPr>
      </w:pPr>
      <w:r>
        <w:rPr>
          <w:sz w:val="22"/>
          <w:szCs w:val="22"/>
        </w:rPr>
        <w:t>Channel measurements are captured at regular snapshots based on the UE speed an a CSI-RS periodicity of 20ms</w:t>
      </w:r>
    </w:p>
    <w:p w:rsidR="00435E6D" w:rsidRDefault="00000000">
      <w:pPr>
        <w:pStyle w:val="ListParagraph"/>
        <w:numPr>
          <w:ilvl w:val="6"/>
          <w:numId w:val="3"/>
        </w:numPr>
        <w:ind w:left="709" w:hanging="283"/>
        <w:jc w:val="both"/>
        <w:rPr>
          <w:sz w:val="22"/>
          <w:szCs w:val="22"/>
        </w:rPr>
      </w:pPr>
      <w:r>
        <w:rPr>
          <w:sz w:val="22"/>
          <w:szCs w:val="22"/>
        </w:rPr>
        <w:t>If the UE encounters the boundary it’s track is terminated and a new UE is dropped at random position.</w:t>
      </w:r>
    </w:p>
    <w:p w:rsidR="00435E6D" w:rsidRDefault="00000000">
      <w:pPr>
        <w:pStyle w:val="ListParagraph"/>
        <w:numPr>
          <w:ilvl w:val="6"/>
          <w:numId w:val="3"/>
        </w:numPr>
        <w:ind w:left="709" w:hanging="283"/>
        <w:jc w:val="both"/>
        <w:rPr>
          <w:sz w:val="22"/>
          <w:szCs w:val="22"/>
        </w:rPr>
      </w:pPr>
      <w:r>
        <w:rPr>
          <w:sz w:val="22"/>
          <w:szCs w:val="22"/>
        </w:rPr>
        <w:t xml:space="preserve">At each snapshot, we measure the RSRP values [4] at the UE’s position from the serving cell and all neighbouring cells. These RSRPs form the model input. </w:t>
      </w:r>
    </w:p>
    <w:p w:rsidR="00435E6D" w:rsidRDefault="00000000">
      <w:pPr>
        <w:pStyle w:val="ListParagraph"/>
        <w:numPr>
          <w:ilvl w:val="6"/>
          <w:numId w:val="3"/>
        </w:numPr>
        <w:ind w:left="709" w:hanging="283"/>
        <w:jc w:val="both"/>
        <w:rPr>
          <w:sz w:val="22"/>
          <w:szCs w:val="22"/>
        </w:rPr>
      </w:pPr>
      <w:r>
        <w:rPr>
          <w:sz w:val="22"/>
          <w:szCs w:val="22"/>
        </w:rPr>
        <w:t xml:space="preserve">All the simulation assumptions are illustrated in </w:t>
      </w:r>
      <w:r w:rsidR="00520E49">
        <w:rPr>
          <w:sz w:val="22"/>
          <w:szCs w:val="22"/>
        </w:rPr>
        <w:t>T</w:t>
      </w:r>
      <w:r>
        <w:rPr>
          <w:sz w:val="22"/>
          <w:szCs w:val="22"/>
        </w:rPr>
        <w:t xml:space="preserve">able </w:t>
      </w:r>
      <w:r w:rsidR="00520E49">
        <w:rPr>
          <w:sz w:val="22"/>
          <w:szCs w:val="22"/>
        </w:rPr>
        <w:t>2</w:t>
      </w:r>
      <w:r>
        <w:rPr>
          <w:sz w:val="22"/>
          <w:szCs w:val="22"/>
        </w:rPr>
        <w:t xml:space="preserve"> and </w:t>
      </w:r>
      <w:r w:rsidR="00520E49">
        <w:rPr>
          <w:bCs/>
          <w:sz w:val="22"/>
          <w:szCs w:val="22"/>
        </w:rPr>
        <w:t>o</w:t>
      </w:r>
      <w:r>
        <w:rPr>
          <w:bCs/>
          <w:sz w:val="22"/>
          <w:szCs w:val="22"/>
        </w:rPr>
        <w:t>ther parameters are as per the outcome of the email discussion [5]</w:t>
      </w:r>
    </w:p>
    <w:p w:rsidR="00435E6D" w:rsidRDefault="00000000">
      <w:pPr>
        <w:jc w:val="both"/>
        <w:rPr>
          <w:sz w:val="22"/>
          <w:szCs w:val="22"/>
        </w:rPr>
      </w:pPr>
      <w:r>
        <w:rPr>
          <w:noProof/>
          <w:sz w:val="22"/>
          <w:szCs w:val="22"/>
        </w:rPr>
        <w:lastRenderedPageBreak/>
        <w:drawing>
          <wp:anchor distT="0" distB="0" distL="114300" distR="114300" simplePos="0" relativeHeight="4" behindDoc="0" locked="0" layoutInCell="0" allowOverlap="1">
            <wp:simplePos x="0" y="0"/>
            <wp:positionH relativeFrom="column">
              <wp:posOffset>0</wp:posOffset>
            </wp:positionH>
            <wp:positionV relativeFrom="paragraph">
              <wp:posOffset>635</wp:posOffset>
            </wp:positionV>
            <wp:extent cx="4442460" cy="4016375"/>
            <wp:effectExtent l="0" t="0" r="0" b="0"/>
            <wp:wrapSquare wrapText="bothSides"/>
            <wp:docPr id="2"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g"/>
                    <pic:cNvPicPr>
                      <a:picLocks noChangeAspect="1" noChangeArrowheads="1"/>
                    </pic:cNvPicPr>
                  </pic:nvPicPr>
                  <pic:blipFill>
                    <a:blip r:embed="rId7"/>
                    <a:srcRect r="22481"/>
                    <a:stretch>
                      <a:fillRect/>
                    </a:stretch>
                  </pic:blipFill>
                  <pic:spPr bwMode="auto">
                    <a:xfrm>
                      <a:off x="0" y="0"/>
                      <a:ext cx="4442460" cy="4016375"/>
                    </a:xfrm>
                    <a:prstGeom prst="rect">
                      <a:avLst/>
                    </a:prstGeom>
                  </pic:spPr>
                </pic:pic>
              </a:graphicData>
            </a:graphic>
          </wp:anchor>
        </w:drawing>
      </w:r>
    </w:p>
    <w:p w:rsidR="00435E6D" w:rsidRDefault="00435E6D">
      <w:pPr>
        <w:jc w:val="both"/>
        <w:rPr>
          <w:sz w:val="22"/>
          <w:szCs w:val="22"/>
        </w:rPr>
      </w:pPr>
    </w:p>
    <w:p w:rsidR="00435E6D" w:rsidRDefault="00000000">
      <w:pPr>
        <w:jc w:val="both"/>
        <w:rPr>
          <w:sz w:val="22"/>
          <w:szCs w:val="22"/>
        </w:rPr>
      </w:pPr>
      <w:r>
        <w:rPr>
          <w:noProof/>
          <w:sz w:val="22"/>
          <w:szCs w:val="22"/>
        </w:rPr>
        <w:drawing>
          <wp:anchor distT="0" distB="0" distL="114300" distR="114300" simplePos="0" relativeHeight="3" behindDoc="0" locked="0" layoutInCell="0" allowOverlap="1">
            <wp:simplePos x="0" y="0"/>
            <wp:positionH relativeFrom="column">
              <wp:posOffset>4441825</wp:posOffset>
            </wp:positionH>
            <wp:positionV relativeFrom="paragraph">
              <wp:posOffset>15875</wp:posOffset>
            </wp:positionV>
            <wp:extent cx="734060" cy="682625"/>
            <wp:effectExtent l="0" t="0" r="0" b="0"/>
            <wp:wrapSquare wrapText="bothSides"/>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7"/>
                    <a:srcRect l="79333" t="7780" r="8281" b="75779"/>
                    <a:stretch>
                      <a:fillRect/>
                    </a:stretch>
                  </pic:blipFill>
                  <pic:spPr bwMode="auto">
                    <a:xfrm>
                      <a:off x="0" y="0"/>
                      <a:ext cx="734060" cy="682625"/>
                    </a:xfrm>
                    <a:prstGeom prst="rect">
                      <a:avLst/>
                    </a:prstGeom>
                  </pic:spPr>
                </pic:pic>
              </a:graphicData>
            </a:graphic>
          </wp:anchor>
        </w:drawing>
      </w: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435E6D">
      <w:pPr>
        <w:ind w:left="720" w:firstLine="720"/>
        <w:jc w:val="both"/>
        <w:rPr>
          <w:sz w:val="22"/>
          <w:szCs w:val="22"/>
        </w:rPr>
      </w:pPr>
    </w:p>
    <w:p w:rsidR="00435E6D" w:rsidRDefault="00000000">
      <w:pPr>
        <w:ind w:left="720" w:firstLine="720"/>
        <w:jc w:val="both"/>
        <w:rPr>
          <w:sz w:val="22"/>
          <w:szCs w:val="22"/>
        </w:rPr>
      </w:pPr>
      <w:r>
        <w:rPr>
          <w:noProof/>
          <w:sz w:val="22"/>
          <w:szCs w:val="22"/>
        </w:rPr>
        <mc:AlternateContent>
          <mc:Choice Requires="wps">
            <w:drawing>
              <wp:anchor distT="0" distB="12065" distL="113665" distR="117475" simplePos="0" relativeHeight="5" behindDoc="0" locked="0" layoutInCell="0" allowOverlap="1" wp14:anchorId="4A0A59E0">
                <wp:simplePos x="0" y="0"/>
                <wp:positionH relativeFrom="column">
                  <wp:posOffset>338455</wp:posOffset>
                </wp:positionH>
                <wp:positionV relativeFrom="paragraph">
                  <wp:posOffset>8890</wp:posOffset>
                </wp:positionV>
                <wp:extent cx="4441825" cy="235585"/>
                <wp:effectExtent l="635" t="635" r="0" b="0"/>
                <wp:wrapSquare wrapText="bothSides"/>
                <wp:docPr id="4" name="Text Box 1"/>
                <wp:cNvGraphicFramePr/>
                <a:graphic xmlns:a="http://schemas.openxmlformats.org/drawingml/2006/main">
                  <a:graphicData uri="http://schemas.microsoft.com/office/word/2010/wordprocessingShape">
                    <wps:wsp>
                      <wps:cNvSpPr/>
                      <wps:spPr>
                        <a:xfrm>
                          <a:off x="0" y="0"/>
                          <a:ext cx="4441680" cy="23544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435E6D" w:rsidRDefault="00000000">
                            <w:pPr>
                              <w:pStyle w:val="Caption"/>
                              <w:jc w:val="center"/>
                              <w:rPr>
                                <w:rFonts w:cs="Times New Roman"/>
                                <w:sz w:val="22"/>
                                <w:szCs w:val="22"/>
                              </w:rPr>
                            </w:pPr>
                            <w:r>
                              <w:rPr>
                                <w:sz w:val="22"/>
                                <w:szCs w:val="22"/>
                              </w:rPr>
                              <w:t>Figure 2: Simulated hexagonal 2-tier layout</w:t>
                            </w:r>
                          </w:p>
                        </w:txbxContent>
                      </wps:txbx>
                      <wps:bodyPr lIns="0" tIns="0" rIns="0" bIns="0" anchor="t">
                        <a:prstTxWarp prst="textNoShape">
                          <a:avLst/>
                        </a:prstTxWarp>
                        <a:spAutoFit/>
                      </wps:bodyPr>
                    </wps:wsp>
                  </a:graphicData>
                </a:graphic>
              </wp:anchor>
            </w:drawing>
          </mc:Choice>
          <mc:Fallback>
            <w:pict>
              <v:rect id="shape_0" ID="Text Box 1" path="m0,0l-2147483645,0l-2147483645,-2147483646l0,-2147483646xe" fillcolor="white" stroked="f" o:allowincell="f" style="position:absolute;margin-left:26.65pt;margin-top:0.7pt;width:349.7pt;height:18.5pt;mso-wrap-style:square;v-text-anchor:top" wp14:anchorId="4A0A59E0">
                <v:fill o:detectmouseclick="t" type="solid" color2="black"/>
                <v:stroke color="#3465a4" joinstyle="round" endcap="flat"/>
                <v:textbox>
                  <w:txbxContent>
                    <w:p>
                      <w:pPr>
                        <w:pStyle w:val="Caption1"/>
                        <w:spacing w:before="120" w:after="120"/>
                        <w:jc w:val="center"/>
                        <w:rPr>
                          <w:rFonts w:cs="Times New Roman"/>
                          <w:sz w:val="22"/>
                          <w:szCs w:val="22"/>
                        </w:rPr>
                      </w:pPr>
                      <w:r>
                        <w:rPr>
                          <w:sz w:val="22"/>
                          <w:szCs w:val="22"/>
                        </w:rPr>
                        <w:t xml:space="preserve">Figure </w:t>
                      </w:r>
                      <w:r>
                        <w:rPr>
                          <w:sz w:val="22"/>
                          <w:szCs w:val="22"/>
                        </w:rPr>
                        <w:t>2</w:t>
                      </w:r>
                      <w:r>
                        <w:rPr>
                          <w:sz w:val="22"/>
                          <w:szCs w:val="22"/>
                        </w:rPr>
                        <w:t>: Simulated hexagonal 2-tier layout</w:t>
                      </w:r>
                    </w:p>
                  </w:txbxContent>
                </v:textbox>
                <w10:wrap type="square"/>
              </v:rect>
            </w:pict>
          </mc:Fallback>
        </mc:AlternateContent>
      </w:r>
    </w:p>
    <w:p w:rsidR="00435E6D" w:rsidRDefault="00435E6D">
      <w:pPr>
        <w:spacing w:before="240"/>
        <w:ind w:left="1440" w:firstLine="720"/>
        <w:jc w:val="both"/>
        <w:rPr>
          <w:sz w:val="22"/>
          <w:szCs w:val="22"/>
        </w:rPr>
      </w:pPr>
    </w:p>
    <w:p w:rsidR="00435E6D" w:rsidRDefault="00000000">
      <w:pPr>
        <w:spacing w:before="240"/>
        <w:ind w:left="1440" w:firstLine="720"/>
        <w:jc w:val="both"/>
        <w:rPr>
          <w:i/>
          <w:iCs/>
          <w:sz w:val="22"/>
          <w:szCs w:val="22"/>
        </w:rPr>
      </w:pPr>
      <w:r>
        <w:rPr>
          <w:i/>
          <w:iCs/>
          <w:sz w:val="22"/>
          <w:szCs w:val="22"/>
        </w:rPr>
        <w:t xml:space="preserve">Table 2: Simulation assumptions </w:t>
      </w:r>
    </w:p>
    <w:tbl>
      <w:tblPr>
        <w:tblW w:w="9360" w:type="dxa"/>
        <w:tblLayout w:type="fixed"/>
        <w:tblCellMar>
          <w:top w:w="100" w:type="dxa"/>
          <w:left w:w="100" w:type="dxa"/>
          <w:bottom w:w="100" w:type="dxa"/>
          <w:right w:w="100" w:type="dxa"/>
        </w:tblCellMar>
        <w:tblLook w:val="0600" w:firstRow="0" w:lastRow="0" w:firstColumn="0" w:lastColumn="0" w:noHBand="1" w:noVBand="1"/>
      </w:tblPr>
      <w:tblGrid>
        <w:gridCol w:w="4668"/>
        <w:gridCol w:w="13"/>
        <w:gridCol w:w="4679"/>
      </w:tblGrid>
      <w:tr w:rsidR="00435E6D">
        <w:tc>
          <w:tcPr>
            <w:tcW w:w="4667"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b/>
                <w:bCs/>
                <w:sz w:val="22"/>
                <w:szCs w:val="22"/>
              </w:rPr>
            </w:pPr>
            <w:r>
              <w:rPr>
                <w:b/>
                <w:bCs/>
                <w:sz w:val="22"/>
                <w:szCs w:val="22"/>
              </w:rPr>
              <w:t>Parameter</w:t>
            </w:r>
          </w:p>
        </w:tc>
        <w:tc>
          <w:tcPr>
            <w:tcW w:w="4692"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b/>
                <w:bCs/>
                <w:sz w:val="22"/>
                <w:szCs w:val="22"/>
              </w:rPr>
            </w:pPr>
            <w:r>
              <w:rPr>
                <w:b/>
                <w:bCs/>
                <w:sz w:val="22"/>
                <w:szCs w:val="22"/>
              </w:rPr>
              <w:t>Value</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SCS</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60 kHz</w:t>
            </w:r>
          </w:p>
        </w:tc>
      </w:tr>
      <w:tr w:rsidR="00435E6D">
        <w:tc>
          <w:tcPr>
            <w:tcW w:w="4680" w:type="dxa"/>
            <w:gridSpan w:val="2"/>
            <w:tcBorders>
              <w:left w:val="single" w:sz="8" w:space="0" w:color="000000"/>
              <w:bottom w:val="single" w:sz="8" w:space="0" w:color="000000"/>
              <w:right w:val="single" w:sz="8" w:space="0" w:color="000000"/>
            </w:tcBorders>
            <w:shd w:val="clear" w:color="auto" w:fill="auto"/>
          </w:tcPr>
          <w:p w:rsidR="00435E6D" w:rsidRDefault="00000000">
            <w:pPr>
              <w:widowControl w:val="0"/>
              <w:jc w:val="both"/>
              <w:rPr>
                <w:sz w:val="22"/>
                <w:szCs w:val="22"/>
              </w:rPr>
            </w:pPr>
            <w:r>
              <w:rPr>
                <w:sz w:val="22"/>
                <w:szCs w:val="22"/>
              </w:rPr>
              <w:t xml:space="preserve">Number of resource elements </w:t>
            </w:r>
          </w:p>
        </w:tc>
        <w:tc>
          <w:tcPr>
            <w:tcW w:w="4679"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66 * 12</w:t>
            </w:r>
          </w:p>
        </w:tc>
      </w:tr>
      <w:tr w:rsidR="00435E6D">
        <w:tc>
          <w:tcPr>
            <w:tcW w:w="4680" w:type="dxa"/>
            <w:gridSpan w:val="2"/>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UE track length</w:t>
            </w:r>
          </w:p>
        </w:tc>
        <w:tc>
          <w:tcPr>
            <w:tcW w:w="4679"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2000 m</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BW </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 50 MHz</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ISD</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200 m</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Center frequency</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30 GHz</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Scenario</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UMi</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Layout</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2 tier hexagonal cell</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Number of Tx (N_Tx)</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32</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Tx antenna height</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10 m</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Number of Rx (N_Rx)</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4</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Rx antenna height </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1.5 m</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lastRenderedPageBreak/>
              <w:t>BS Tx power</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30 dBm for 20 RB bandwidth</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UE speed</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60  kmph</w:t>
            </w:r>
          </w:p>
        </w:tc>
      </w:tr>
      <w:tr w:rsidR="00435E6D">
        <w:tc>
          <w:tcPr>
            <w:tcW w:w="468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UE rotation</w:t>
            </w:r>
          </w:p>
        </w:tc>
        <w:tc>
          <w:tcPr>
            <w:tcW w:w="4679"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 No </w:t>
            </w:r>
          </w:p>
        </w:tc>
      </w:tr>
    </w:tbl>
    <w:p w:rsidR="00435E6D" w:rsidRDefault="00435E6D">
      <w:pPr>
        <w:spacing w:before="240"/>
        <w:rPr>
          <w:bCs/>
          <w:sz w:val="22"/>
          <w:szCs w:val="22"/>
        </w:rPr>
      </w:pPr>
    </w:p>
    <w:p w:rsidR="00435E6D" w:rsidRPr="002F094F" w:rsidRDefault="00000000" w:rsidP="002F094F">
      <w:pPr>
        <w:spacing w:before="240"/>
        <w:jc w:val="both"/>
        <w:rPr>
          <w:b/>
          <w:sz w:val="32"/>
          <w:szCs w:val="32"/>
        </w:rPr>
      </w:pPr>
      <w:r w:rsidRPr="002F094F">
        <w:rPr>
          <w:b/>
          <w:sz w:val="32"/>
          <w:szCs w:val="32"/>
        </w:rPr>
        <w:t>Model Assumptions:</w:t>
      </w:r>
    </w:p>
    <w:p w:rsidR="00435E6D" w:rsidRDefault="00000000">
      <w:pPr>
        <w:spacing w:before="240"/>
        <w:jc w:val="both"/>
        <w:rPr>
          <w:sz w:val="22"/>
          <w:szCs w:val="22"/>
        </w:rPr>
      </w:pPr>
      <w:r>
        <w:rPr>
          <w:sz w:val="22"/>
          <w:szCs w:val="22"/>
        </w:rPr>
        <w:t xml:space="preserve">We used an LSTM (Long Short-Term Memory) based architecture for RRM measurement prediction. Details are given below. </w:t>
      </w:r>
    </w:p>
    <w:p w:rsidR="00435E6D" w:rsidRDefault="00000000">
      <w:pPr>
        <w:spacing w:before="240"/>
        <w:ind w:left="720" w:firstLine="720"/>
        <w:jc w:val="both"/>
        <w:rPr>
          <w:i/>
          <w:iCs/>
          <w:sz w:val="22"/>
          <w:szCs w:val="22"/>
        </w:rPr>
      </w:pPr>
      <w:r>
        <w:rPr>
          <w:i/>
          <w:iCs/>
          <w:sz w:val="22"/>
          <w:szCs w:val="22"/>
        </w:rPr>
        <w:t>Table 2: Model architecture and other experimental parameters</w:t>
      </w:r>
    </w:p>
    <w:tbl>
      <w:tblPr>
        <w:tblW w:w="9360" w:type="dxa"/>
        <w:tblLayout w:type="fixed"/>
        <w:tblCellMar>
          <w:top w:w="100" w:type="dxa"/>
          <w:left w:w="100" w:type="dxa"/>
          <w:bottom w:w="100" w:type="dxa"/>
          <w:right w:w="100" w:type="dxa"/>
        </w:tblCellMar>
        <w:tblLook w:val="0600" w:firstRow="0" w:lastRow="0" w:firstColumn="0" w:lastColumn="0" w:noHBand="1" w:noVBand="1"/>
      </w:tblPr>
      <w:tblGrid>
        <w:gridCol w:w="3120"/>
        <w:gridCol w:w="3120"/>
        <w:gridCol w:w="3120"/>
      </w:tblGrid>
      <w:tr w:rsidR="00435E6D">
        <w:trPr>
          <w:trHeight w:val="400"/>
        </w:trPr>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Assumptions</w:t>
            </w:r>
          </w:p>
        </w:tc>
        <w:tc>
          <w:tcPr>
            <w:tcW w:w="6240" w:type="dxa"/>
            <w:gridSpan w:val="2"/>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Description</w:t>
            </w:r>
          </w:p>
        </w:tc>
      </w:tr>
      <w:tr w:rsidR="00435E6D">
        <w:trPr>
          <w:trHeight w:val="400"/>
        </w:trPr>
        <w:tc>
          <w:tcPr>
            <w:tcW w:w="3120" w:type="dxa"/>
            <w:vMerge w:val="restart"/>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Data</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Number of beams in set A</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32 * 4</w:t>
            </w:r>
          </w:p>
        </w:tc>
      </w:tr>
      <w:tr w:rsidR="00435E6D">
        <w:trPr>
          <w:trHeight w:val="400"/>
        </w:trPr>
        <w:tc>
          <w:tcPr>
            <w:tcW w:w="3120" w:type="dxa"/>
            <w:vMerge/>
            <w:tcBorders>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Number of beams in set B</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32 * 4</w:t>
            </w:r>
            <w:r w:rsidR="00F9199F">
              <w:rPr>
                <w:sz w:val="22"/>
                <w:szCs w:val="22"/>
              </w:rPr>
              <w:t xml:space="preserve"> (same as Set A)</w:t>
            </w:r>
          </w:p>
        </w:tc>
      </w:tr>
      <w:tr w:rsidR="00435E6D">
        <w:trPr>
          <w:trHeight w:val="400"/>
        </w:trPr>
        <w:tc>
          <w:tcPr>
            <w:tcW w:w="3120" w:type="dxa"/>
            <w:vMerge/>
            <w:tcBorders>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Experimental </w:t>
            </w:r>
            <w:r w:rsidR="00E71381">
              <w:rPr>
                <w:sz w:val="22"/>
                <w:szCs w:val="22"/>
              </w:rPr>
              <w:t>sampling</w:t>
            </w:r>
            <w:r>
              <w:rPr>
                <w:sz w:val="22"/>
                <w:szCs w:val="22"/>
              </w:rPr>
              <w:t xml:space="preserve"> period (T</w:t>
            </w:r>
            <w:r>
              <w:rPr>
                <w:sz w:val="22"/>
                <w:szCs w:val="22"/>
                <w:vertAlign w:val="subscript"/>
              </w:rPr>
              <w:t>per</w:t>
            </w:r>
            <w:r>
              <w:rPr>
                <w:sz w:val="22"/>
                <w:szCs w:val="22"/>
              </w:rPr>
              <w:t>)</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80 ms</w:t>
            </w:r>
          </w:p>
        </w:tc>
      </w:tr>
      <w:tr w:rsidR="00435E6D">
        <w:trPr>
          <w:trHeight w:val="400"/>
        </w:trPr>
        <w:tc>
          <w:tcPr>
            <w:tcW w:w="3120" w:type="dxa"/>
            <w:tcBorders>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left w:val="single" w:sz="8" w:space="0" w:color="000000"/>
              <w:bottom w:val="single" w:sz="8" w:space="0" w:color="000000"/>
              <w:right w:val="single" w:sz="8" w:space="0" w:color="000000"/>
            </w:tcBorders>
            <w:shd w:val="clear" w:color="auto" w:fill="auto"/>
          </w:tcPr>
          <w:p w:rsidR="00435E6D" w:rsidRDefault="00E71381">
            <w:pPr>
              <w:widowControl w:val="0"/>
              <w:rPr>
                <w:sz w:val="22"/>
                <w:szCs w:val="22"/>
              </w:rPr>
            </w:pPr>
            <w:r>
              <w:rPr>
                <w:sz w:val="22"/>
                <w:szCs w:val="22"/>
              </w:rPr>
              <w:t>Observation window (O</w:t>
            </w:r>
            <w:r>
              <w:rPr>
                <w:sz w:val="22"/>
                <w:szCs w:val="22"/>
                <w:vertAlign w:val="subscript"/>
              </w:rPr>
              <w:t>t</w:t>
            </w:r>
            <w:r>
              <w:rPr>
                <w:sz w:val="22"/>
                <w:szCs w:val="22"/>
              </w:rPr>
              <w:t>)</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240 ms, 400 ms, 400 ms</w:t>
            </w:r>
          </w:p>
        </w:tc>
      </w:tr>
      <w:tr w:rsidR="00435E6D">
        <w:trPr>
          <w:trHeight w:val="400"/>
        </w:trPr>
        <w:tc>
          <w:tcPr>
            <w:tcW w:w="3120" w:type="dxa"/>
            <w:tcBorders>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Prediction window (P</w:t>
            </w:r>
            <w:r>
              <w:rPr>
                <w:sz w:val="22"/>
                <w:szCs w:val="22"/>
                <w:vertAlign w:val="subscript"/>
              </w:rPr>
              <w:t>t</w:t>
            </w:r>
            <w:r>
              <w:rPr>
                <w:sz w:val="22"/>
                <w:szCs w:val="22"/>
              </w:rPr>
              <w:t>)</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240 ms, 480 ms, 800 ms</w:t>
            </w:r>
          </w:p>
        </w:tc>
      </w:tr>
      <w:tr w:rsidR="00435E6D">
        <w:trPr>
          <w:trHeight w:val="440"/>
        </w:trPr>
        <w:tc>
          <w:tcPr>
            <w:tcW w:w="3120" w:type="dxa"/>
            <w:vMerge w:val="restart"/>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AI/ML model </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Model input</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3*32*4, 5*32*4, 8*32*4. (3, 5 and 8 obtained from O</w:t>
            </w:r>
            <w:r>
              <w:rPr>
                <w:sz w:val="22"/>
                <w:szCs w:val="22"/>
                <w:vertAlign w:val="subscript"/>
              </w:rPr>
              <w:t>t</w:t>
            </w:r>
            <w:r>
              <w:rPr>
                <w:sz w:val="22"/>
                <w:szCs w:val="22"/>
              </w:rPr>
              <w:t>/T</w:t>
            </w:r>
            <w:r>
              <w:rPr>
                <w:sz w:val="22"/>
                <w:szCs w:val="22"/>
                <w:vertAlign w:val="subscript"/>
              </w:rPr>
              <w:t>per</w:t>
            </w:r>
            <w:r>
              <w:rPr>
                <w:sz w:val="22"/>
                <w:szCs w:val="22"/>
              </w:rPr>
              <w:t>)</w:t>
            </w:r>
          </w:p>
        </w:tc>
      </w:tr>
      <w:tr w:rsidR="00435E6D">
        <w:trPr>
          <w:trHeight w:val="440"/>
        </w:trPr>
        <w:tc>
          <w:tcPr>
            <w:tcW w:w="3120" w:type="dxa"/>
            <w:vMerge/>
            <w:tcBorders>
              <w:top w:val="single" w:sz="8" w:space="0" w:color="000000"/>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Model output</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1*3, 1*6, 1*10 (The RSRP values)</w:t>
            </w:r>
          </w:p>
        </w:tc>
      </w:tr>
      <w:tr w:rsidR="00435E6D">
        <w:trPr>
          <w:trHeight w:val="440"/>
        </w:trPr>
        <w:tc>
          <w:tcPr>
            <w:tcW w:w="3120" w:type="dxa"/>
            <w:vMerge/>
            <w:tcBorders>
              <w:top w:val="single" w:sz="8" w:space="0" w:color="000000"/>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Model</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LSTM model</w:t>
            </w:r>
          </w:p>
        </w:tc>
      </w:tr>
      <w:tr w:rsidR="00435E6D">
        <w:trPr>
          <w:trHeight w:val="440"/>
        </w:trPr>
        <w:tc>
          <w:tcPr>
            <w:tcW w:w="3120" w:type="dxa"/>
            <w:vMerge/>
            <w:tcBorders>
              <w:top w:val="single" w:sz="8" w:space="0" w:color="000000"/>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Hidden size (H)</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64</w:t>
            </w:r>
          </w:p>
        </w:tc>
      </w:tr>
      <w:tr w:rsidR="00435E6D">
        <w:trPr>
          <w:trHeight w:val="440"/>
        </w:trPr>
        <w:tc>
          <w:tcPr>
            <w:tcW w:w="3120" w:type="dxa"/>
            <w:vMerge/>
            <w:tcBorders>
              <w:top w:val="single" w:sz="8" w:space="0" w:color="000000"/>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Number of LSTM layers</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2</w:t>
            </w:r>
          </w:p>
        </w:tc>
      </w:tr>
      <w:tr w:rsidR="00435E6D">
        <w:trPr>
          <w:trHeight w:val="440"/>
        </w:trPr>
        <w:tc>
          <w:tcPr>
            <w:tcW w:w="3120" w:type="dxa"/>
            <w:vMerge/>
            <w:tcBorders>
              <w:top w:val="single" w:sz="8" w:space="0" w:color="000000"/>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Output layer</w:t>
            </w:r>
          </w:p>
        </w:tc>
        <w:tc>
          <w:tcPr>
            <w:tcW w:w="3120" w:type="dxa"/>
            <w:tcBorders>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Fully connected layer </w:t>
            </w:r>
          </w:p>
          <w:p w:rsidR="00435E6D" w:rsidRDefault="00000000">
            <w:pPr>
              <w:widowControl w:val="0"/>
              <w:rPr>
                <w:sz w:val="22"/>
                <w:szCs w:val="22"/>
              </w:rPr>
            </w:pPr>
            <w:r>
              <w:rPr>
                <w:sz w:val="22"/>
                <w:szCs w:val="22"/>
              </w:rPr>
              <w:t>H * (P</w:t>
            </w:r>
            <w:r>
              <w:rPr>
                <w:sz w:val="22"/>
                <w:szCs w:val="22"/>
                <w:vertAlign w:val="subscript"/>
              </w:rPr>
              <w:t>t</w:t>
            </w:r>
            <w:r>
              <w:rPr>
                <w:sz w:val="22"/>
                <w:szCs w:val="22"/>
              </w:rPr>
              <w:t>/T</w:t>
            </w:r>
            <w:r>
              <w:rPr>
                <w:sz w:val="22"/>
                <w:szCs w:val="22"/>
                <w:vertAlign w:val="subscript"/>
              </w:rPr>
              <w:t>per</w:t>
            </w:r>
            <w:r>
              <w:rPr>
                <w:sz w:val="22"/>
                <w:szCs w:val="22"/>
              </w:rPr>
              <w:t>)</w:t>
            </w:r>
          </w:p>
        </w:tc>
      </w:tr>
      <w:tr w:rsidR="00435E6D">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Data size</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Training</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0.2 M</w:t>
            </w:r>
          </w:p>
        </w:tc>
      </w:tr>
      <w:tr w:rsidR="00435E6D">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435E6D">
            <w:pPr>
              <w:widowControl w:val="0"/>
              <w:rPr>
                <w:sz w:val="22"/>
                <w:szCs w:val="22"/>
              </w:rPr>
            </w:pP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Testing</w:t>
            </w:r>
          </w:p>
        </w:tc>
        <w:tc>
          <w:tcPr>
            <w:tcW w:w="3120" w:type="dxa"/>
            <w:tcBorders>
              <w:top w:val="single" w:sz="8" w:space="0" w:color="000000"/>
              <w:left w:val="single" w:sz="8" w:space="0" w:color="000000"/>
              <w:bottom w:val="single" w:sz="8" w:space="0" w:color="000000"/>
              <w:right w:val="single" w:sz="8" w:space="0" w:color="000000"/>
            </w:tcBorders>
            <w:shd w:val="clear" w:color="auto" w:fill="auto"/>
          </w:tcPr>
          <w:p w:rsidR="00435E6D" w:rsidRDefault="00000000">
            <w:pPr>
              <w:widowControl w:val="0"/>
              <w:rPr>
                <w:sz w:val="22"/>
                <w:szCs w:val="22"/>
              </w:rPr>
            </w:pPr>
            <w:r>
              <w:rPr>
                <w:sz w:val="22"/>
                <w:szCs w:val="22"/>
              </w:rPr>
              <w:t xml:space="preserve"> 0.04 M</w:t>
            </w:r>
          </w:p>
        </w:tc>
      </w:tr>
    </w:tbl>
    <w:p w:rsidR="00534ADA" w:rsidRDefault="00534ADA" w:rsidP="00534ADA">
      <w:pPr>
        <w:spacing w:before="160" w:after="120"/>
        <w:rPr>
          <w:i/>
          <w:iCs/>
          <w:sz w:val="22"/>
          <w:szCs w:val="22"/>
        </w:rPr>
      </w:pPr>
      <w:r>
        <w:rPr>
          <w:i/>
          <w:iCs/>
          <w:noProof/>
          <w:sz w:val="22"/>
          <w:szCs w:val="22"/>
        </w:rPr>
        <w:lastRenderedPageBreak/>
        <w:drawing>
          <wp:anchor distT="0" distB="0" distL="114300" distR="114300" simplePos="0" relativeHeight="251658240" behindDoc="0" locked="0" layoutInCell="1" allowOverlap="1">
            <wp:simplePos x="0" y="0"/>
            <wp:positionH relativeFrom="column">
              <wp:posOffset>0</wp:posOffset>
            </wp:positionH>
            <wp:positionV relativeFrom="paragraph">
              <wp:posOffset>100330</wp:posOffset>
            </wp:positionV>
            <wp:extent cx="5731510" cy="962660"/>
            <wp:effectExtent l="0" t="0" r="0" b="2540"/>
            <wp:wrapSquare wrapText="bothSides"/>
            <wp:docPr id="16221444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962660"/>
                    </a:xfrm>
                    <a:prstGeom prst="rect">
                      <a:avLst/>
                    </a:prstGeom>
                  </pic:spPr>
                </pic:pic>
              </a:graphicData>
            </a:graphic>
            <wp14:sizeRelH relativeFrom="page">
              <wp14:pctWidth>0</wp14:pctWidth>
            </wp14:sizeRelH>
            <wp14:sizeRelV relativeFrom="page">
              <wp14:pctHeight>0</wp14:pctHeight>
            </wp14:sizeRelV>
          </wp:anchor>
        </w:drawing>
      </w:r>
    </w:p>
    <w:p w:rsidR="00435E6D" w:rsidRDefault="00000000">
      <w:pPr>
        <w:spacing w:before="160" w:after="120"/>
        <w:jc w:val="center"/>
        <w:rPr>
          <w:i/>
          <w:iCs/>
          <w:sz w:val="22"/>
          <w:szCs w:val="22"/>
        </w:rPr>
      </w:pPr>
      <w:r>
        <w:rPr>
          <w:i/>
          <w:iCs/>
          <w:sz w:val="22"/>
          <w:szCs w:val="22"/>
        </w:rPr>
        <w:t>Figure 3: AI/ML model implementation for RRM measurement prediction for FR2 intra cell intra frequency temporal domain.</w:t>
      </w:r>
    </w:p>
    <w:p w:rsidR="00435E6D" w:rsidRDefault="00435E6D">
      <w:pPr>
        <w:pStyle w:val="ListParagraph"/>
        <w:spacing w:before="240"/>
        <w:jc w:val="both"/>
        <w:rPr>
          <w:b/>
          <w:sz w:val="22"/>
          <w:szCs w:val="22"/>
        </w:rPr>
      </w:pPr>
    </w:p>
    <w:p w:rsidR="00435E6D" w:rsidRDefault="00435E6D">
      <w:pPr>
        <w:pStyle w:val="ListParagraph"/>
        <w:spacing w:before="240"/>
        <w:jc w:val="both"/>
        <w:rPr>
          <w:b/>
          <w:sz w:val="22"/>
          <w:szCs w:val="22"/>
        </w:rPr>
      </w:pPr>
    </w:p>
    <w:p w:rsidR="00435E6D" w:rsidRDefault="00435E6D">
      <w:pPr>
        <w:pStyle w:val="ListParagraph"/>
        <w:spacing w:before="240"/>
        <w:jc w:val="both"/>
        <w:rPr>
          <w:b/>
          <w:sz w:val="22"/>
          <w:szCs w:val="22"/>
        </w:rPr>
      </w:pPr>
    </w:p>
    <w:p w:rsidR="00DA40E4" w:rsidRDefault="00000000" w:rsidP="002F094F">
      <w:pPr>
        <w:spacing w:before="160" w:after="120"/>
        <w:jc w:val="both"/>
        <w:rPr>
          <w:b/>
          <w:sz w:val="32"/>
          <w:szCs w:val="32"/>
        </w:rPr>
      </w:pPr>
      <w:r w:rsidRPr="002F094F">
        <w:rPr>
          <w:b/>
          <w:sz w:val="32"/>
          <w:szCs w:val="32"/>
        </w:rPr>
        <w:t>RRM prediction Results for FR2 Intra F</w:t>
      </w:r>
      <w:r w:rsidR="00F45BE2">
        <w:rPr>
          <w:b/>
          <w:sz w:val="32"/>
          <w:szCs w:val="32"/>
        </w:rPr>
        <w:t xml:space="preserve">requency Intra </w:t>
      </w:r>
      <w:r w:rsidRPr="002F094F">
        <w:rPr>
          <w:b/>
          <w:sz w:val="32"/>
          <w:szCs w:val="32"/>
        </w:rPr>
        <w:t>C</w:t>
      </w:r>
      <w:r w:rsidR="00F45BE2">
        <w:rPr>
          <w:b/>
          <w:sz w:val="32"/>
          <w:szCs w:val="32"/>
        </w:rPr>
        <w:t>ell Temporal</w:t>
      </w:r>
      <w:r w:rsidRPr="002F094F">
        <w:rPr>
          <w:b/>
          <w:sz w:val="32"/>
          <w:szCs w:val="32"/>
        </w:rPr>
        <w:t xml:space="preserve"> </w:t>
      </w:r>
      <w:r w:rsidR="00F45BE2">
        <w:rPr>
          <w:b/>
          <w:sz w:val="32"/>
          <w:szCs w:val="32"/>
        </w:rPr>
        <w:t>C</w:t>
      </w:r>
      <w:r w:rsidRPr="002F094F">
        <w:rPr>
          <w:b/>
          <w:sz w:val="32"/>
          <w:szCs w:val="32"/>
        </w:rPr>
        <w:t xml:space="preserve">ase A </w:t>
      </w:r>
    </w:p>
    <w:p w:rsidR="00DA40E4" w:rsidRDefault="00DA40E4" w:rsidP="00DA40E4">
      <w:pPr>
        <w:spacing w:before="160" w:after="120"/>
        <w:jc w:val="both"/>
        <w:rPr>
          <w:sz w:val="22"/>
          <w:szCs w:val="22"/>
        </w:rPr>
      </w:pPr>
      <w:r>
        <w:rPr>
          <w:sz w:val="22"/>
          <w:szCs w:val="22"/>
        </w:rPr>
        <w:t>Once the RSRPs are predicted using the model in Figure 3, the difference between the predicted RSRP and the true RSRP is calculated. Then, % of samples within different dB ranges of difference are calculated and plotted in Figure 4. From Figure 4 it can be observed that for the same observation window, the accuracy varies for different prediction windows. For instance, for fixed O</w:t>
      </w:r>
      <w:r>
        <w:rPr>
          <w:sz w:val="22"/>
          <w:szCs w:val="22"/>
          <w:vertAlign w:val="subscript"/>
        </w:rPr>
        <w:t xml:space="preserve">t  </w:t>
      </w:r>
      <w:r>
        <w:rPr>
          <w:sz w:val="22"/>
          <w:szCs w:val="22"/>
        </w:rPr>
        <w:t>of 5T</w:t>
      </w:r>
      <w:r>
        <w:rPr>
          <w:sz w:val="22"/>
          <w:szCs w:val="22"/>
          <w:vertAlign w:val="subscript"/>
        </w:rPr>
        <w:t xml:space="preserve">per </w:t>
      </w:r>
      <w:r>
        <w:rPr>
          <w:sz w:val="22"/>
          <w:szCs w:val="22"/>
        </w:rPr>
        <w:t>the prediction accuracy decreases when the P</w:t>
      </w:r>
      <w:r>
        <w:rPr>
          <w:sz w:val="22"/>
          <w:szCs w:val="22"/>
          <w:vertAlign w:val="subscript"/>
        </w:rPr>
        <w:t xml:space="preserve">t </w:t>
      </w:r>
      <w:r>
        <w:rPr>
          <w:sz w:val="22"/>
          <w:szCs w:val="22"/>
        </w:rPr>
        <w:t>is increased (from 6 T</w:t>
      </w:r>
      <w:r>
        <w:rPr>
          <w:sz w:val="22"/>
          <w:szCs w:val="22"/>
          <w:vertAlign w:val="subscript"/>
        </w:rPr>
        <w:t xml:space="preserve">per </w:t>
      </w:r>
      <w:r>
        <w:rPr>
          <w:sz w:val="22"/>
          <w:szCs w:val="22"/>
        </w:rPr>
        <w:t>and 10 T</w:t>
      </w:r>
      <w:r>
        <w:rPr>
          <w:sz w:val="22"/>
          <w:szCs w:val="22"/>
          <w:vertAlign w:val="subscript"/>
        </w:rPr>
        <w:t>per</w:t>
      </w:r>
      <w:r>
        <w:rPr>
          <w:sz w:val="22"/>
          <w:szCs w:val="22"/>
        </w:rPr>
        <w:t>). Therefore  P</w:t>
      </w:r>
      <w:r>
        <w:rPr>
          <w:sz w:val="22"/>
          <w:szCs w:val="22"/>
          <w:vertAlign w:val="subscript"/>
        </w:rPr>
        <w:t xml:space="preserve">t </w:t>
      </w:r>
      <w:r>
        <w:rPr>
          <w:sz w:val="22"/>
          <w:szCs w:val="22"/>
        </w:rPr>
        <w:t xml:space="preserve">needs to be chosen carefully. </w:t>
      </w:r>
    </w:p>
    <w:p w:rsidR="00DA40E4" w:rsidRPr="002F094F" w:rsidRDefault="00DA40E4" w:rsidP="002F094F">
      <w:pPr>
        <w:spacing w:before="160" w:after="120"/>
        <w:jc w:val="both"/>
        <w:rPr>
          <w:sz w:val="32"/>
          <w:szCs w:val="32"/>
        </w:rPr>
      </w:pPr>
    </w:p>
    <w:p w:rsidR="00435E6D" w:rsidRDefault="00000000">
      <w:pPr>
        <w:spacing w:before="160" w:after="120"/>
        <w:jc w:val="both"/>
        <w:rPr>
          <w:b/>
          <w:sz w:val="22"/>
          <w:szCs w:val="22"/>
        </w:rPr>
      </w:pPr>
      <w:r>
        <w:rPr>
          <w:noProof/>
        </w:rPr>
        <w:drawing>
          <wp:anchor distT="0" distB="0" distL="0" distR="0" simplePos="0" relativeHeight="8" behindDoc="0" locked="0" layoutInCell="0" allowOverlap="1">
            <wp:simplePos x="0" y="0"/>
            <wp:positionH relativeFrom="column">
              <wp:align>center</wp:align>
            </wp:positionH>
            <wp:positionV relativeFrom="paragraph">
              <wp:posOffset>635</wp:posOffset>
            </wp:positionV>
            <wp:extent cx="3604260" cy="2328545"/>
            <wp:effectExtent l="0" t="0" r="0" b="0"/>
            <wp:wrapSquare wrapText="largest"/>
            <wp:docPr id="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
                    <pic:cNvPicPr>
                      <a:picLocks noChangeAspect="1" noChangeArrowheads="1"/>
                    </pic:cNvPicPr>
                  </pic:nvPicPr>
                  <pic:blipFill>
                    <a:blip r:embed="rId9"/>
                    <a:stretch>
                      <a:fillRect/>
                    </a:stretch>
                  </pic:blipFill>
                  <pic:spPr bwMode="auto">
                    <a:xfrm>
                      <a:off x="0" y="0"/>
                      <a:ext cx="3604260" cy="2328545"/>
                    </a:xfrm>
                    <a:prstGeom prst="rect">
                      <a:avLst/>
                    </a:prstGeom>
                  </pic:spPr>
                </pic:pic>
              </a:graphicData>
            </a:graphic>
          </wp:anchor>
        </w:drawing>
      </w: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000000" w:rsidP="002E7AF8">
      <w:pPr>
        <w:spacing w:before="160" w:after="120"/>
        <w:jc w:val="center"/>
        <w:rPr>
          <w:b/>
          <w:sz w:val="22"/>
          <w:szCs w:val="22"/>
        </w:rPr>
      </w:pPr>
      <w:r>
        <w:rPr>
          <w:i/>
          <w:iCs/>
          <w:sz w:val="22"/>
          <w:szCs w:val="22"/>
        </w:rPr>
        <w:t xml:space="preserve">Figure 4. CDF of </w:t>
      </w:r>
      <w:r w:rsidR="002E7AF8">
        <w:rPr>
          <w:i/>
          <w:iCs/>
          <w:sz w:val="22"/>
          <w:szCs w:val="22"/>
        </w:rPr>
        <w:t>the difference between the predicted and true RSRPs (</w:t>
      </w:r>
      <w:r>
        <w:rPr>
          <w:i/>
          <w:iCs/>
          <w:sz w:val="22"/>
          <w:szCs w:val="22"/>
        </w:rPr>
        <w:t>Predicted – True</w:t>
      </w:r>
      <w:r w:rsidR="002E7AF8">
        <w:rPr>
          <w:i/>
          <w:iCs/>
          <w:sz w:val="22"/>
          <w:szCs w:val="22"/>
        </w:rPr>
        <w:t>)</w:t>
      </w:r>
      <w:r>
        <w:rPr>
          <w:i/>
          <w:iCs/>
          <w:sz w:val="22"/>
          <w:szCs w:val="22"/>
        </w:rPr>
        <w:t xml:space="preserve"> at different dB </w:t>
      </w:r>
      <w:r w:rsidR="002E7AF8">
        <w:rPr>
          <w:i/>
          <w:iCs/>
          <w:sz w:val="22"/>
          <w:szCs w:val="22"/>
        </w:rPr>
        <w:t>r</w:t>
      </w:r>
      <w:r>
        <w:rPr>
          <w:i/>
          <w:iCs/>
          <w:sz w:val="22"/>
          <w:szCs w:val="22"/>
        </w:rPr>
        <w:t>anges</w:t>
      </w:r>
      <w:r w:rsidR="002E7AF8">
        <w:rPr>
          <w:i/>
          <w:iCs/>
          <w:sz w:val="22"/>
          <w:szCs w:val="22"/>
        </w:rPr>
        <w:t xml:space="preserve"> of difference</w:t>
      </w:r>
      <w:r>
        <w:rPr>
          <w:i/>
          <w:iCs/>
          <w:sz w:val="22"/>
          <w:szCs w:val="22"/>
        </w:rPr>
        <w:t xml:space="preserve">. </w:t>
      </w:r>
      <w:r w:rsidR="002E7AF8">
        <w:rPr>
          <w:i/>
          <w:iCs/>
          <w:sz w:val="22"/>
          <w:szCs w:val="22"/>
        </w:rPr>
        <w:t xml:space="preserve">Prediction window </w:t>
      </w:r>
      <w:r w:rsidR="00966437">
        <w:rPr>
          <w:i/>
          <w:iCs/>
          <w:sz w:val="22"/>
          <w:szCs w:val="22"/>
        </w:rPr>
        <w:t>is varied</w:t>
      </w:r>
      <w:r w:rsidR="002E7AF8">
        <w:rPr>
          <w:i/>
          <w:iCs/>
          <w:sz w:val="22"/>
          <w:szCs w:val="22"/>
        </w:rPr>
        <w:t xml:space="preserve"> and</w:t>
      </w:r>
      <w:r>
        <w:rPr>
          <w:i/>
          <w:iCs/>
          <w:sz w:val="22"/>
          <w:szCs w:val="22"/>
        </w:rPr>
        <w:t xml:space="preserve"> </w:t>
      </w:r>
      <w:r w:rsidR="002E7AF8">
        <w:rPr>
          <w:i/>
          <w:iCs/>
          <w:sz w:val="22"/>
          <w:szCs w:val="22"/>
        </w:rPr>
        <w:t>observation window is fixed.</w:t>
      </w:r>
    </w:p>
    <w:p w:rsidR="00435E6D" w:rsidRDefault="00000000">
      <w:pPr>
        <w:spacing w:before="160" w:after="120"/>
        <w:jc w:val="both"/>
        <w:rPr>
          <w:b/>
          <w:sz w:val="22"/>
          <w:szCs w:val="22"/>
        </w:rPr>
      </w:pPr>
      <w:r>
        <w:rPr>
          <w:noProof/>
        </w:rPr>
        <w:lastRenderedPageBreak/>
        <w:drawing>
          <wp:anchor distT="0" distB="0" distL="0" distR="0" simplePos="0" relativeHeight="9" behindDoc="0" locked="0" layoutInCell="0" allowOverlap="1">
            <wp:simplePos x="0" y="0"/>
            <wp:positionH relativeFrom="column">
              <wp:align>center</wp:align>
            </wp:positionH>
            <wp:positionV relativeFrom="paragraph">
              <wp:posOffset>635</wp:posOffset>
            </wp:positionV>
            <wp:extent cx="3649345" cy="2322830"/>
            <wp:effectExtent l="0" t="0" r="0" b="0"/>
            <wp:wrapSquare wrapText="largest"/>
            <wp:docPr id="8"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pic:cNvPicPr>
                      <a:picLocks noChangeAspect="1" noChangeArrowheads="1"/>
                    </pic:cNvPicPr>
                  </pic:nvPicPr>
                  <pic:blipFill>
                    <a:blip r:embed="rId10"/>
                    <a:stretch>
                      <a:fillRect/>
                    </a:stretch>
                  </pic:blipFill>
                  <pic:spPr bwMode="auto">
                    <a:xfrm>
                      <a:off x="0" y="0"/>
                      <a:ext cx="3649345" cy="2322830"/>
                    </a:xfrm>
                    <a:prstGeom prst="rect">
                      <a:avLst/>
                    </a:prstGeom>
                  </pic:spPr>
                </pic:pic>
              </a:graphicData>
            </a:graphic>
          </wp:anchor>
        </w:drawing>
      </w: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435E6D">
      <w:pPr>
        <w:spacing w:before="160" w:after="120"/>
        <w:jc w:val="both"/>
        <w:rPr>
          <w:b/>
          <w:sz w:val="22"/>
          <w:szCs w:val="22"/>
        </w:rPr>
      </w:pPr>
    </w:p>
    <w:p w:rsidR="00435E6D" w:rsidRDefault="00000000">
      <w:pPr>
        <w:spacing w:before="160" w:after="120"/>
        <w:jc w:val="both"/>
        <w:rPr>
          <w:b/>
          <w:sz w:val="22"/>
          <w:szCs w:val="22"/>
        </w:rPr>
      </w:pPr>
      <w:r>
        <w:rPr>
          <w:b/>
          <w:i/>
          <w:iCs/>
          <w:sz w:val="22"/>
          <w:szCs w:val="22"/>
        </w:rPr>
        <w:tab/>
      </w:r>
      <w:r>
        <w:rPr>
          <w:b/>
          <w:i/>
          <w:iCs/>
          <w:sz w:val="22"/>
          <w:szCs w:val="22"/>
        </w:rPr>
        <w:tab/>
      </w:r>
    </w:p>
    <w:p w:rsidR="00DA40E4" w:rsidRDefault="00000000" w:rsidP="00DA40E4">
      <w:pPr>
        <w:spacing w:before="160" w:after="120"/>
        <w:jc w:val="center"/>
        <w:rPr>
          <w:b/>
          <w:sz w:val="22"/>
          <w:szCs w:val="22"/>
        </w:rPr>
      </w:pPr>
      <w:r>
        <w:rPr>
          <w:i/>
          <w:iCs/>
          <w:sz w:val="22"/>
          <w:szCs w:val="22"/>
        </w:rPr>
        <w:t xml:space="preserve">Figure </w:t>
      </w:r>
      <w:r w:rsidR="00E74F6C">
        <w:rPr>
          <w:i/>
          <w:iCs/>
          <w:sz w:val="22"/>
          <w:szCs w:val="22"/>
        </w:rPr>
        <w:t>5</w:t>
      </w:r>
      <w:r>
        <w:rPr>
          <w:i/>
          <w:iCs/>
          <w:sz w:val="22"/>
          <w:szCs w:val="22"/>
        </w:rPr>
        <w:t xml:space="preserve">. </w:t>
      </w:r>
      <w:r w:rsidR="00DA40E4">
        <w:rPr>
          <w:i/>
          <w:iCs/>
          <w:sz w:val="22"/>
          <w:szCs w:val="22"/>
        </w:rPr>
        <w:t xml:space="preserve">CDF of the difference between the predicted and true RSRPs (Predicted – True) at different dB ranges of difference. Observation window </w:t>
      </w:r>
      <w:r w:rsidR="00BB2412">
        <w:rPr>
          <w:i/>
          <w:iCs/>
          <w:sz w:val="22"/>
          <w:szCs w:val="22"/>
        </w:rPr>
        <w:t>is varied</w:t>
      </w:r>
      <w:r w:rsidR="00DA40E4">
        <w:rPr>
          <w:i/>
          <w:iCs/>
          <w:sz w:val="22"/>
          <w:szCs w:val="22"/>
        </w:rPr>
        <w:t xml:space="preserve"> and prediction window is fixed.</w:t>
      </w:r>
    </w:p>
    <w:p w:rsidR="00435E6D" w:rsidRDefault="00000000">
      <w:pPr>
        <w:spacing w:before="160" w:after="120"/>
        <w:jc w:val="both"/>
        <w:rPr>
          <w:b/>
          <w:bCs/>
          <w:i/>
          <w:iCs/>
          <w:sz w:val="22"/>
          <w:szCs w:val="22"/>
        </w:rPr>
      </w:pPr>
      <w:r>
        <w:rPr>
          <w:b/>
          <w:bCs/>
          <w:i/>
          <w:iCs/>
          <w:sz w:val="22"/>
          <w:szCs w:val="22"/>
        </w:rPr>
        <w:t>Observation 1:</w:t>
      </w:r>
      <w:r>
        <w:rPr>
          <w:sz w:val="22"/>
          <w:szCs w:val="22"/>
        </w:rPr>
        <w:t xml:space="preserve"> The accuracy of the ML model decrease</w:t>
      </w:r>
      <w:r w:rsidR="00DA40E4">
        <w:rPr>
          <w:sz w:val="22"/>
          <w:szCs w:val="22"/>
        </w:rPr>
        <w:t>s</w:t>
      </w:r>
      <w:r>
        <w:rPr>
          <w:sz w:val="22"/>
          <w:szCs w:val="22"/>
        </w:rPr>
        <w:t xml:space="preserve"> for higher lengths of prediction window</w:t>
      </w:r>
      <w:r w:rsidR="00C11894">
        <w:rPr>
          <w:sz w:val="22"/>
          <w:szCs w:val="22"/>
        </w:rPr>
        <w:t>, for a given observation window</w:t>
      </w:r>
      <w:r>
        <w:rPr>
          <w:sz w:val="22"/>
          <w:szCs w:val="22"/>
        </w:rPr>
        <w:t xml:space="preserve">. </w:t>
      </w:r>
    </w:p>
    <w:p w:rsidR="00435E6D" w:rsidRDefault="00000000">
      <w:pPr>
        <w:spacing w:before="160" w:after="120"/>
        <w:jc w:val="both"/>
        <w:rPr>
          <w:b/>
          <w:bCs/>
          <w:i/>
          <w:iCs/>
          <w:sz w:val="22"/>
          <w:szCs w:val="22"/>
        </w:rPr>
      </w:pPr>
      <w:r>
        <w:rPr>
          <w:sz w:val="22"/>
          <w:szCs w:val="22"/>
        </w:rPr>
        <w:t xml:space="preserve">From </w:t>
      </w:r>
      <w:r w:rsidR="00DA40E4">
        <w:rPr>
          <w:sz w:val="22"/>
          <w:szCs w:val="22"/>
        </w:rPr>
        <w:t>Figure</w:t>
      </w:r>
      <w:r>
        <w:rPr>
          <w:sz w:val="22"/>
          <w:szCs w:val="22"/>
        </w:rPr>
        <w:t xml:space="preserve"> 5</w:t>
      </w:r>
      <w:r w:rsidR="002120EF">
        <w:rPr>
          <w:sz w:val="22"/>
          <w:szCs w:val="22"/>
        </w:rPr>
        <w:t>,</w:t>
      </w:r>
      <w:r>
        <w:rPr>
          <w:sz w:val="22"/>
          <w:szCs w:val="22"/>
        </w:rPr>
        <w:t xml:space="preserve"> it can be </w:t>
      </w:r>
      <w:r w:rsidR="00DA40E4">
        <w:rPr>
          <w:sz w:val="22"/>
          <w:szCs w:val="22"/>
        </w:rPr>
        <w:t>observed</w:t>
      </w:r>
      <w:r>
        <w:rPr>
          <w:sz w:val="22"/>
          <w:szCs w:val="22"/>
        </w:rPr>
        <w:t xml:space="preserve"> that for the same prediction window size</w:t>
      </w:r>
      <w:r w:rsidR="002120EF">
        <w:rPr>
          <w:sz w:val="22"/>
          <w:szCs w:val="22"/>
        </w:rPr>
        <w:t>,</w:t>
      </w:r>
      <w:r>
        <w:rPr>
          <w:sz w:val="22"/>
          <w:szCs w:val="22"/>
        </w:rPr>
        <w:t xml:space="preserve"> the accuracy of the model decreases when the observation window size is decreased. Basically </w:t>
      </w:r>
      <w:r w:rsidR="002120EF">
        <w:rPr>
          <w:sz w:val="22"/>
          <w:szCs w:val="22"/>
        </w:rPr>
        <w:t>this follows from the fact</w:t>
      </w:r>
      <w:r>
        <w:rPr>
          <w:sz w:val="22"/>
          <w:szCs w:val="22"/>
        </w:rPr>
        <w:t xml:space="preserve"> that the accuracy of timeseries prediction with ML models changes when the history of </w:t>
      </w:r>
      <w:r w:rsidR="002120EF">
        <w:rPr>
          <w:sz w:val="22"/>
          <w:szCs w:val="22"/>
        </w:rPr>
        <w:t>samples</w:t>
      </w:r>
      <w:r>
        <w:rPr>
          <w:sz w:val="22"/>
          <w:szCs w:val="22"/>
        </w:rPr>
        <w:t xml:space="preserve"> to the model is reduced. </w:t>
      </w:r>
    </w:p>
    <w:p w:rsidR="00435E6D" w:rsidRDefault="00000000">
      <w:pPr>
        <w:spacing w:before="160" w:after="120"/>
        <w:jc w:val="both"/>
        <w:rPr>
          <w:b/>
          <w:bCs/>
          <w:i/>
          <w:iCs/>
          <w:sz w:val="22"/>
          <w:szCs w:val="22"/>
        </w:rPr>
      </w:pPr>
      <w:r>
        <w:rPr>
          <w:b/>
          <w:bCs/>
          <w:i/>
          <w:iCs/>
          <w:sz w:val="22"/>
          <w:szCs w:val="22"/>
        </w:rPr>
        <w:t xml:space="preserve">Observation </w:t>
      </w:r>
      <w:r w:rsidR="00C11894">
        <w:rPr>
          <w:b/>
          <w:bCs/>
          <w:i/>
          <w:iCs/>
          <w:sz w:val="22"/>
          <w:szCs w:val="22"/>
        </w:rPr>
        <w:t>2</w:t>
      </w:r>
      <w:r>
        <w:rPr>
          <w:b/>
          <w:bCs/>
          <w:i/>
          <w:iCs/>
          <w:sz w:val="22"/>
          <w:szCs w:val="22"/>
        </w:rPr>
        <w:t>:</w:t>
      </w:r>
      <w:r>
        <w:rPr>
          <w:sz w:val="22"/>
          <w:szCs w:val="22"/>
        </w:rPr>
        <w:t xml:space="preserve"> The accuracy of the ML model </w:t>
      </w:r>
      <w:r w:rsidR="00E671D7">
        <w:rPr>
          <w:sz w:val="22"/>
          <w:szCs w:val="22"/>
        </w:rPr>
        <w:t>is low</w:t>
      </w:r>
      <w:r>
        <w:rPr>
          <w:sz w:val="22"/>
          <w:szCs w:val="22"/>
        </w:rPr>
        <w:t xml:space="preserve"> for </w:t>
      </w:r>
      <w:r w:rsidR="00C11894">
        <w:rPr>
          <w:sz w:val="22"/>
          <w:szCs w:val="22"/>
        </w:rPr>
        <w:t>small</w:t>
      </w:r>
      <w:r>
        <w:rPr>
          <w:sz w:val="22"/>
          <w:szCs w:val="22"/>
        </w:rPr>
        <w:t xml:space="preserve"> observation window</w:t>
      </w:r>
      <w:r w:rsidR="002120EF">
        <w:rPr>
          <w:sz w:val="22"/>
          <w:szCs w:val="22"/>
        </w:rPr>
        <w:t xml:space="preserve"> sizes</w:t>
      </w:r>
      <w:r w:rsidR="00E671D7">
        <w:rPr>
          <w:sz w:val="22"/>
          <w:szCs w:val="22"/>
        </w:rPr>
        <w:t xml:space="preserve"> and high for large observation window</w:t>
      </w:r>
    </w:p>
    <w:p w:rsidR="00435E6D" w:rsidRDefault="00000000">
      <w:pPr>
        <w:spacing w:before="160" w:after="120"/>
        <w:jc w:val="both"/>
        <w:rPr>
          <w:b/>
          <w:bCs/>
          <w:i/>
          <w:iCs/>
          <w:sz w:val="22"/>
          <w:szCs w:val="22"/>
        </w:rPr>
      </w:pPr>
      <w:r>
        <w:rPr>
          <w:sz w:val="22"/>
          <w:szCs w:val="22"/>
        </w:rPr>
        <w:t xml:space="preserve">From </w:t>
      </w:r>
      <w:r w:rsidR="002120EF">
        <w:rPr>
          <w:sz w:val="22"/>
          <w:szCs w:val="22"/>
        </w:rPr>
        <w:t>F</w:t>
      </w:r>
      <w:r>
        <w:rPr>
          <w:sz w:val="22"/>
          <w:szCs w:val="22"/>
        </w:rPr>
        <w:t xml:space="preserve">igures 4 and 5 it can be </w:t>
      </w:r>
      <w:r w:rsidR="002120EF">
        <w:rPr>
          <w:sz w:val="22"/>
          <w:szCs w:val="22"/>
        </w:rPr>
        <w:t>seen</w:t>
      </w:r>
      <w:r>
        <w:rPr>
          <w:sz w:val="22"/>
          <w:szCs w:val="22"/>
        </w:rPr>
        <w:t xml:space="preserve"> that </w:t>
      </w:r>
      <w:r w:rsidR="002120EF">
        <w:rPr>
          <w:sz w:val="22"/>
          <w:szCs w:val="22"/>
        </w:rPr>
        <w:t xml:space="preserve">the </w:t>
      </w:r>
      <w:r>
        <w:rPr>
          <w:sz w:val="22"/>
          <w:szCs w:val="22"/>
        </w:rPr>
        <w:t>ML model</w:t>
      </w:r>
      <w:r w:rsidR="002120EF">
        <w:rPr>
          <w:sz w:val="22"/>
          <w:szCs w:val="22"/>
        </w:rPr>
        <w:t>s</w:t>
      </w:r>
      <w:r>
        <w:rPr>
          <w:sz w:val="22"/>
          <w:szCs w:val="22"/>
        </w:rPr>
        <w:t xml:space="preserve"> are able to predict the future </w:t>
      </w:r>
      <w:r w:rsidR="002120EF">
        <w:rPr>
          <w:sz w:val="22"/>
          <w:szCs w:val="22"/>
        </w:rPr>
        <w:t>measurements</w:t>
      </w:r>
      <w:r>
        <w:rPr>
          <w:sz w:val="22"/>
          <w:szCs w:val="22"/>
        </w:rPr>
        <w:t xml:space="preserve"> for FR2 intra</w:t>
      </w:r>
      <w:r w:rsidR="002120EF">
        <w:rPr>
          <w:sz w:val="22"/>
          <w:szCs w:val="22"/>
        </w:rPr>
        <w:t xml:space="preserve"> </w:t>
      </w:r>
      <w:r w:rsidR="00B43CD0">
        <w:rPr>
          <w:sz w:val="22"/>
          <w:szCs w:val="22"/>
        </w:rPr>
        <w:t>frequency</w:t>
      </w:r>
      <w:r>
        <w:rPr>
          <w:sz w:val="22"/>
          <w:szCs w:val="22"/>
        </w:rPr>
        <w:t xml:space="preserve"> temporal domain case A</w:t>
      </w:r>
      <w:r w:rsidR="00A114A6">
        <w:rPr>
          <w:sz w:val="22"/>
          <w:szCs w:val="22"/>
        </w:rPr>
        <w:t xml:space="preserve"> with decent accuracy</w:t>
      </w:r>
      <w:r>
        <w:rPr>
          <w:sz w:val="22"/>
          <w:szCs w:val="22"/>
        </w:rPr>
        <w:t xml:space="preserve">. However the accuracy depends </w:t>
      </w:r>
      <w:r w:rsidR="00B43CD0">
        <w:rPr>
          <w:sz w:val="22"/>
          <w:szCs w:val="22"/>
        </w:rPr>
        <w:t xml:space="preserve">on </w:t>
      </w:r>
      <w:r>
        <w:rPr>
          <w:sz w:val="22"/>
          <w:szCs w:val="22"/>
        </w:rPr>
        <w:t xml:space="preserve">the </w:t>
      </w:r>
      <w:r w:rsidR="002120EF">
        <w:rPr>
          <w:sz w:val="22"/>
          <w:szCs w:val="22"/>
        </w:rPr>
        <w:t>parameters</w:t>
      </w:r>
      <w:r>
        <w:rPr>
          <w:sz w:val="22"/>
          <w:szCs w:val="22"/>
        </w:rPr>
        <w:t xml:space="preserve"> such as Ot and Pt. At the same </w:t>
      </w:r>
      <w:r w:rsidR="00B43CD0">
        <w:rPr>
          <w:sz w:val="22"/>
          <w:szCs w:val="22"/>
        </w:rPr>
        <w:t xml:space="preserve">time, </w:t>
      </w:r>
      <w:r>
        <w:rPr>
          <w:sz w:val="22"/>
          <w:szCs w:val="22"/>
        </w:rPr>
        <w:t xml:space="preserve">based on our previous </w:t>
      </w:r>
      <w:r w:rsidR="00B43CD0">
        <w:rPr>
          <w:sz w:val="22"/>
          <w:szCs w:val="22"/>
        </w:rPr>
        <w:t>experiments</w:t>
      </w:r>
      <w:r>
        <w:rPr>
          <w:sz w:val="22"/>
          <w:szCs w:val="22"/>
        </w:rPr>
        <w:t xml:space="preserve"> </w:t>
      </w:r>
      <w:r w:rsidR="00B43CD0">
        <w:rPr>
          <w:sz w:val="22"/>
          <w:szCs w:val="22"/>
        </w:rPr>
        <w:t>in the</w:t>
      </w:r>
      <w:r>
        <w:rPr>
          <w:sz w:val="22"/>
          <w:szCs w:val="22"/>
        </w:rPr>
        <w:t xml:space="preserve"> spatial domain in [</w:t>
      </w:r>
      <w:r w:rsidR="00B43CD0">
        <w:rPr>
          <w:sz w:val="22"/>
          <w:szCs w:val="22"/>
        </w:rPr>
        <w:t>6</w:t>
      </w:r>
      <w:r>
        <w:rPr>
          <w:sz w:val="22"/>
          <w:szCs w:val="22"/>
        </w:rPr>
        <w:t>]</w:t>
      </w:r>
      <w:r w:rsidR="00B43CD0">
        <w:rPr>
          <w:sz w:val="22"/>
          <w:szCs w:val="22"/>
        </w:rPr>
        <w:t>,</w:t>
      </w:r>
      <w:r>
        <w:rPr>
          <w:sz w:val="22"/>
          <w:szCs w:val="22"/>
        </w:rPr>
        <w:t xml:space="preserve"> we </w:t>
      </w:r>
      <w:r w:rsidR="00B43CD0">
        <w:rPr>
          <w:sz w:val="22"/>
          <w:szCs w:val="22"/>
        </w:rPr>
        <w:t>believe</w:t>
      </w:r>
      <w:r>
        <w:rPr>
          <w:sz w:val="22"/>
          <w:szCs w:val="22"/>
        </w:rPr>
        <w:t xml:space="preserve"> that the model </w:t>
      </w:r>
      <w:r w:rsidR="00B43CD0">
        <w:rPr>
          <w:sz w:val="22"/>
          <w:szCs w:val="22"/>
        </w:rPr>
        <w:t>complexity</w:t>
      </w:r>
      <w:r>
        <w:rPr>
          <w:sz w:val="22"/>
          <w:szCs w:val="22"/>
        </w:rPr>
        <w:t xml:space="preserve"> also changes the prediction accuracy in</w:t>
      </w:r>
      <w:r w:rsidR="00B43CD0">
        <w:rPr>
          <w:sz w:val="22"/>
          <w:szCs w:val="22"/>
        </w:rPr>
        <w:t xml:space="preserve"> the</w:t>
      </w:r>
      <w:r>
        <w:rPr>
          <w:sz w:val="22"/>
          <w:szCs w:val="22"/>
        </w:rPr>
        <w:t xml:space="preserve"> </w:t>
      </w:r>
      <w:r w:rsidR="00B43CD0">
        <w:rPr>
          <w:sz w:val="22"/>
          <w:szCs w:val="22"/>
        </w:rPr>
        <w:t>temporal</w:t>
      </w:r>
      <w:r>
        <w:rPr>
          <w:sz w:val="22"/>
          <w:szCs w:val="22"/>
        </w:rPr>
        <w:t xml:space="preserve"> domain. However, it needs to te</w:t>
      </w:r>
      <w:r w:rsidR="00B43CD0">
        <w:rPr>
          <w:sz w:val="22"/>
          <w:szCs w:val="22"/>
        </w:rPr>
        <w:t>s</w:t>
      </w:r>
      <w:r>
        <w:rPr>
          <w:sz w:val="22"/>
          <w:szCs w:val="22"/>
        </w:rPr>
        <w:t xml:space="preserve">ted experimentally. </w:t>
      </w:r>
    </w:p>
    <w:p w:rsidR="00435E6D" w:rsidRDefault="00000000">
      <w:pPr>
        <w:spacing w:before="160" w:after="120"/>
        <w:jc w:val="both"/>
        <w:rPr>
          <w:b/>
          <w:bCs/>
          <w:i/>
          <w:iCs/>
          <w:sz w:val="22"/>
          <w:szCs w:val="22"/>
        </w:rPr>
      </w:pPr>
      <w:r>
        <w:rPr>
          <w:b/>
          <w:bCs/>
          <w:i/>
          <w:iCs/>
          <w:sz w:val="22"/>
          <w:szCs w:val="22"/>
        </w:rPr>
        <w:t xml:space="preserve">Observation </w:t>
      </w:r>
      <w:r w:rsidR="00C11894">
        <w:rPr>
          <w:b/>
          <w:bCs/>
          <w:i/>
          <w:iCs/>
          <w:sz w:val="22"/>
          <w:szCs w:val="22"/>
        </w:rPr>
        <w:t>3</w:t>
      </w:r>
      <w:r>
        <w:rPr>
          <w:b/>
          <w:bCs/>
          <w:i/>
          <w:iCs/>
          <w:sz w:val="22"/>
          <w:szCs w:val="22"/>
        </w:rPr>
        <w:t>:</w:t>
      </w:r>
      <w:r>
        <w:rPr>
          <w:sz w:val="22"/>
          <w:szCs w:val="22"/>
        </w:rPr>
        <w:t xml:space="preserve"> </w:t>
      </w:r>
      <w:r w:rsidR="00B43CD0">
        <w:rPr>
          <w:sz w:val="22"/>
          <w:szCs w:val="22"/>
        </w:rPr>
        <w:t xml:space="preserve">The performance of </w:t>
      </w:r>
      <w:r>
        <w:rPr>
          <w:sz w:val="22"/>
          <w:szCs w:val="22"/>
        </w:rPr>
        <w:t>ML</w:t>
      </w:r>
      <w:r w:rsidR="00B43CD0">
        <w:rPr>
          <w:sz w:val="22"/>
          <w:szCs w:val="22"/>
        </w:rPr>
        <w:t>-based RRM measurement prediction for mobility in</w:t>
      </w:r>
      <w:r>
        <w:rPr>
          <w:sz w:val="22"/>
          <w:szCs w:val="22"/>
        </w:rPr>
        <w:t xml:space="preserve"> FR2 intra </w:t>
      </w:r>
      <w:r w:rsidR="00B43CD0">
        <w:rPr>
          <w:sz w:val="22"/>
          <w:szCs w:val="22"/>
        </w:rPr>
        <w:t>frequency</w:t>
      </w:r>
      <w:r>
        <w:rPr>
          <w:sz w:val="22"/>
          <w:szCs w:val="22"/>
        </w:rPr>
        <w:t xml:space="preserve"> temporal domain case A </w:t>
      </w:r>
      <w:r w:rsidR="00B43CD0">
        <w:rPr>
          <w:sz w:val="22"/>
          <w:szCs w:val="22"/>
        </w:rPr>
        <w:t>depends on</w:t>
      </w:r>
      <w:r>
        <w:rPr>
          <w:sz w:val="22"/>
          <w:szCs w:val="22"/>
        </w:rPr>
        <w:t xml:space="preserve"> O</w:t>
      </w:r>
      <w:r>
        <w:rPr>
          <w:sz w:val="22"/>
          <w:szCs w:val="22"/>
          <w:vertAlign w:val="subscript"/>
        </w:rPr>
        <w:t>t</w:t>
      </w:r>
      <w:r>
        <w:rPr>
          <w:sz w:val="22"/>
          <w:szCs w:val="22"/>
        </w:rPr>
        <w:t>, P</w:t>
      </w:r>
      <w:r>
        <w:rPr>
          <w:sz w:val="22"/>
          <w:szCs w:val="22"/>
          <w:vertAlign w:val="subscript"/>
        </w:rPr>
        <w:t>t</w:t>
      </w:r>
      <w:r>
        <w:rPr>
          <w:sz w:val="22"/>
          <w:szCs w:val="22"/>
        </w:rPr>
        <w:t xml:space="preserve"> and model </w:t>
      </w:r>
      <w:r w:rsidR="00B43CD0">
        <w:rPr>
          <w:sz w:val="22"/>
          <w:szCs w:val="22"/>
        </w:rPr>
        <w:t>complexity</w:t>
      </w:r>
      <w:r w:rsidR="00A114A6">
        <w:rPr>
          <w:sz w:val="22"/>
          <w:szCs w:val="22"/>
        </w:rPr>
        <w:t>.</w:t>
      </w:r>
    </w:p>
    <w:p w:rsidR="00435E6D" w:rsidRDefault="00435E6D">
      <w:pPr>
        <w:pStyle w:val="ListParagraph"/>
        <w:spacing w:before="160" w:after="120"/>
        <w:jc w:val="both"/>
        <w:rPr>
          <w:b/>
          <w:bCs/>
          <w:sz w:val="22"/>
          <w:szCs w:val="22"/>
        </w:rPr>
      </w:pPr>
    </w:p>
    <w:p w:rsidR="00435E6D" w:rsidRPr="002F094F" w:rsidRDefault="00000000" w:rsidP="002F094F">
      <w:pPr>
        <w:spacing w:before="160" w:after="120"/>
        <w:jc w:val="both"/>
        <w:rPr>
          <w:b/>
          <w:bCs/>
          <w:sz w:val="32"/>
          <w:szCs w:val="32"/>
        </w:rPr>
      </w:pPr>
      <w:r w:rsidRPr="002F094F">
        <w:rPr>
          <w:b/>
          <w:bCs/>
          <w:sz w:val="32"/>
          <w:szCs w:val="32"/>
        </w:rPr>
        <w:t>References</w:t>
      </w:r>
    </w:p>
    <w:p w:rsidR="00435E6D" w:rsidRDefault="00000000">
      <w:pPr>
        <w:spacing w:before="160" w:after="120"/>
        <w:jc w:val="both"/>
        <w:rPr>
          <w:sz w:val="22"/>
          <w:szCs w:val="22"/>
        </w:rPr>
      </w:pPr>
      <w:r>
        <w:rPr>
          <w:sz w:val="22"/>
          <w:szCs w:val="22"/>
        </w:rPr>
        <w:t>[1] RP-234055 Study on AI (Artificial Intelligence)/ML (Machine Learning) for mobility in NR, FS_NR_AIML_Mob</w:t>
      </w:r>
    </w:p>
    <w:p w:rsidR="00435E6D" w:rsidRDefault="00000000">
      <w:pPr>
        <w:spacing w:before="160" w:after="120"/>
        <w:jc w:val="both"/>
        <w:rPr>
          <w:sz w:val="22"/>
          <w:szCs w:val="22"/>
        </w:rPr>
      </w:pPr>
      <w:r>
        <w:rPr>
          <w:sz w:val="22"/>
          <w:szCs w:val="22"/>
        </w:rPr>
        <w:t>[2] Chair’s Notes, RAN2 #125 bis, April 2024</w:t>
      </w:r>
    </w:p>
    <w:p w:rsidR="00435E6D" w:rsidRDefault="00000000">
      <w:pPr>
        <w:spacing w:before="160" w:after="120"/>
        <w:jc w:val="both"/>
        <w:rPr>
          <w:sz w:val="22"/>
          <w:szCs w:val="22"/>
        </w:rPr>
      </w:pPr>
      <w:r>
        <w:rPr>
          <w:sz w:val="22"/>
          <w:szCs w:val="22"/>
        </w:rPr>
        <w:t>[3] Chair’s Notes, RAN2 #126, May 2024</w:t>
      </w:r>
    </w:p>
    <w:p w:rsidR="00435E6D" w:rsidRDefault="00000000">
      <w:pPr>
        <w:spacing w:before="160" w:after="120"/>
        <w:jc w:val="both"/>
        <w:rPr>
          <w:sz w:val="22"/>
          <w:szCs w:val="22"/>
        </w:rPr>
      </w:pPr>
      <w:r>
        <w:rPr>
          <w:sz w:val="22"/>
          <w:szCs w:val="22"/>
        </w:rPr>
        <w:t xml:space="preserve">[4] 3GPP </w:t>
      </w:r>
      <w:r w:rsidR="001537E9">
        <w:rPr>
          <w:sz w:val="22"/>
          <w:szCs w:val="22"/>
        </w:rPr>
        <w:t xml:space="preserve">TS </w:t>
      </w:r>
      <w:r>
        <w:rPr>
          <w:sz w:val="22"/>
          <w:szCs w:val="22"/>
        </w:rPr>
        <w:t>38.215</w:t>
      </w:r>
    </w:p>
    <w:p w:rsidR="00435E6D" w:rsidRDefault="00000000">
      <w:pPr>
        <w:spacing w:before="160" w:after="120"/>
        <w:jc w:val="both"/>
        <w:rPr>
          <w:b/>
          <w:bCs/>
          <w:sz w:val="22"/>
          <w:szCs w:val="22"/>
        </w:rPr>
      </w:pPr>
      <w:r>
        <w:rPr>
          <w:sz w:val="22"/>
          <w:szCs w:val="22"/>
        </w:rPr>
        <w:t>[5] RAN2 #126 Post Email Discussion: R2-2405960 Draft summary of [AT126][030][AIMob] Simulation assumptions</w:t>
      </w:r>
    </w:p>
    <w:p w:rsidR="00435E6D" w:rsidRDefault="00000000">
      <w:pPr>
        <w:spacing w:before="160" w:after="120"/>
        <w:jc w:val="both"/>
      </w:pPr>
      <w:r>
        <w:rPr>
          <w:sz w:val="22"/>
          <w:szCs w:val="22"/>
        </w:rPr>
        <w:t>[6] R2-2407451</w:t>
      </w:r>
      <w:r w:rsidR="001537E9">
        <w:rPr>
          <w:sz w:val="22"/>
          <w:szCs w:val="22"/>
        </w:rPr>
        <w:t xml:space="preserve"> </w:t>
      </w:r>
      <w:r>
        <w:rPr>
          <w:sz w:val="22"/>
          <w:szCs w:val="22"/>
        </w:rPr>
        <w:t xml:space="preserve">RAN2 </w:t>
      </w:r>
      <w:r w:rsidR="001537E9">
        <w:rPr>
          <w:sz w:val="22"/>
          <w:szCs w:val="22"/>
        </w:rPr>
        <w:t>#</w:t>
      </w:r>
      <w:r>
        <w:rPr>
          <w:sz w:val="22"/>
          <w:szCs w:val="22"/>
        </w:rPr>
        <w:t>127 August 2024 Simulation results for RRM measurement prediction</w:t>
      </w:r>
    </w:p>
    <w:p w:rsidR="00435E6D" w:rsidRDefault="00435E6D">
      <w:pPr>
        <w:rPr>
          <w:lang w:val="en-US" w:eastAsia="zh-CN"/>
        </w:rPr>
      </w:pPr>
    </w:p>
    <w:sectPr w:rsidR="00435E6D">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44ED2"/>
    <w:multiLevelType w:val="multilevel"/>
    <w:tmpl w:val="4308DF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5891060"/>
    <w:multiLevelType w:val="multilevel"/>
    <w:tmpl w:val="DB1A2FD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15:restartNumberingAfterBreak="0">
    <w:nsid w:val="5DD8709F"/>
    <w:multiLevelType w:val="multilevel"/>
    <w:tmpl w:val="CB1A42C4"/>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0A42C2B"/>
    <w:multiLevelType w:val="multilevel"/>
    <w:tmpl w:val="681C5B3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17006692">
    <w:abstractNumId w:val="0"/>
  </w:num>
  <w:num w:numId="2" w16cid:durableId="43796877">
    <w:abstractNumId w:val="2"/>
  </w:num>
  <w:num w:numId="3" w16cid:durableId="43216110">
    <w:abstractNumId w:val="1"/>
  </w:num>
  <w:num w:numId="4" w16cid:durableId="630657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8"/>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E6D"/>
    <w:rsid w:val="001537E9"/>
    <w:rsid w:val="002120EF"/>
    <w:rsid w:val="00262579"/>
    <w:rsid w:val="002E7AF8"/>
    <w:rsid w:val="002F094F"/>
    <w:rsid w:val="003458AD"/>
    <w:rsid w:val="003E1E2F"/>
    <w:rsid w:val="00435E6D"/>
    <w:rsid w:val="00520E49"/>
    <w:rsid w:val="00534ADA"/>
    <w:rsid w:val="006254D0"/>
    <w:rsid w:val="006D2357"/>
    <w:rsid w:val="008577AB"/>
    <w:rsid w:val="00966437"/>
    <w:rsid w:val="00A114A6"/>
    <w:rsid w:val="00A12C26"/>
    <w:rsid w:val="00B43CD0"/>
    <w:rsid w:val="00BB2412"/>
    <w:rsid w:val="00C11894"/>
    <w:rsid w:val="00C327EF"/>
    <w:rsid w:val="00DA40E4"/>
    <w:rsid w:val="00E671D7"/>
    <w:rsid w:val="00E71381"/>
    <w:rsid w:val="00E74F6C"/>
    <w:rsid w:val="00E95F2A"/>
    <w:rsid w:val="00EB7FBC"/>
    <w:rsid w:val="00EC3793"/>
    <w:rsid w:val="00F45BE2"/>
    <w:rsid w:val="00F9199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A659"/>
  <w15:docId w15:val="{0EEE628E-7E6E-0D45-BD04-D0E00856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qFormat/>
    <w:rPr>
      <w:sz w:val="16"/>
      <w:szCs w:val="16"/>
    </w:rPr>
  </w:style>
  <w:style w:type="character" w:customStyle="1" w:styleId="ListParagraphChar">
    <w:name w:val="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qFormat/>
    <w:rsid w:val="00FD31FB"/>
  </w:style>
  <w:style w:type="character" w:customStyle="1" w:styleId="CommentSubjectChar">
    <w:name w:val="Comment Subject Char"/>
    <w:basedOn w:val="CommentTextChar"/>
    <w:link w:val="CommentSubject"/>
    <w:uiPriority w:val="99"/>
    <w:semiHidden/>
    <w:qFormat/>
    <w:rsid w:val="004B1F9E"/>
    <w:rPr>
      <w:rFonts w:ascii="Times New Roman" w:eastAsia="Times New Roman" w:hAnsi="Times New Roman" w:cs="Times New Roman"/>
      <w:b/>
      <w:bCs/>
      <w:sz w:val="20"/>
      <w:szCs w:val="20"/>
      <w:lang w:val="en-US" w:eastAsia="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basedOn w:val="Normal"/>
    <w:link w:val="ListParagraphChar"/>
    <w:uiPriority w:val="34"/>
    <w:qFormat/>
    <w:rsid w:val="00224F5D"/>
    <w:pPr>
      <w:ind w:left="720"/>
      <w:contextualSpacing/>
    </w:p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sid w:val="004B1F9E"/>
    <w:rPr>
      <w:b/>
      <w:bCs/>
    </w:rPr>
  </w:style>
  <w:style w:type="paragraph" w:customStyle="1" w:styleId="References">
    <w:name w:val="References"/>
    <w:basedOn w:val="Normal"/>
    <w:qFormat/>
    <w:rsid w:val="005E14B9"/>
    <w:pPr>
      <w:numPr>
        <w:numId w:val="2"/>
      </w:numPr>
      <w:snapToGrid w:val="0"/>
      <w:spacing w:after="60"/>
      <w:jc w:val="both"/>
    </w:pPr>
    <w:rPr>
      <w:rFonts w:eastAsia="SimSun"/>
      <w:sz w:val="20"/>
      <w:szCs w:val="16"/>
      <w:lang w:val="en-US"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TableNormal"/>
    <w:rsid w:val="004703A5"/>
    <w:rPr>
      <w:lang w:eastAsia="en-GB"/>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6</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Anil-IITM</cp:lastModifiedBy>
  <cp:revision>408</cp:revision>
  <dcterms:created xsi:type="dcterms:W3CDTF">2023-08-11T16:11:00Z</dcterms:created>
  <dcterms:modified xsi:type="dcterms:W3CDTF">2024-11-08T09:30:00Z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